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26" w:rsidRDefault="00227A26">
      <w:pPr>
        <w:spacing w:before="240"/>
        <w:jc w:val="center"/>
        <w:rPr>
          <w:rFonts w:cs="Verdana"/>
        </w:rPr>
      </w:pPr>
      <w:bookmarkStart w:id="0" w:name="_GoBack"/>
      <w:bookmarkEnd w:id="0"/>
      <w:r>
        <w:rPr>
          <w:rFonts w:cs="Verdana"/>
        </w:rPr>
        <w:t>WZÓR</w:t>
      </w:r>
    </w:p>
    <w:p w:rsidR="00307974" w:rsidRDefault="00307974">
      <w:pPr>
        <w:spacing w:before="240"/>
        <w:jc w:val="center"/>
        <w:rPr>
          <w:rFonts w:cs="Verdana"/>
        </w:rPr>
      </w:pPr>
    </w:p>
    <w:p w:rsidR="00227A26" w:rsidRDefault="00227A26">
      <w:pPr>
        <w:rPr>
          <w:rFonts w:cs="Verdana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9153"/>
      </w:tblGrid>
      <w:tr w:rsidR="00227A26" w:rsidTr="00620911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OŚWIADCZENIE O STANIE RODZINNYM, MAJĄTKU, DOCHODACH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I ŹRÓDŁACH UTRZYMANIA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307974" w:rsidRPr="00307974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Pr="00307974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 w:rsidRPr="00307974">
              <w:rPr>
                <w:rFonts w:cs="Verdana"/>
                <w:b/>
                <w:bCs/>
                <w:sz w:val="18"/>
                <w:szCs w:val="18"/>
              </w:rPr>
              <w:t>POUCZENIE</w:t>
            </w:r>
          </w:p>
          <w:p w:rsidR="00227A26" w:rsidRPr="00307974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Druk należy wypełnić czytelnie, dokonując wpisów bez skreśleń i poprawek.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2) 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Każdą rubrykę niezacieniowaną należy wypełnić przez wpisanie odpowiedniej treści.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Jeżeli oświadczenie nie będzie zawierało wszystkich wymaganych danych, wnioskodawca zostanie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zobowiązany do poprawienia lub uzupełnienia oświadczenia w terminie tygodniowym od dnia otrzymania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wezwania. Po bezskutecznym upływie terminu przewodniczący zwraca wniosek o zwolnienie od kosztów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sądowych.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Jeżeli nie jest możliwe wpisanie wszystkich danych w druku, należy umieścić te dane na dodatkowej karcie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formatu A4, ze wskazaniem uzupełnianej rubryki. Pod dodaną treścią należy złożyć podpis.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Dane w oświadczeniu należy wpisać według stanu istniejącego w dniu jego sporządzenia.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Sąd może zarządzić stosowne dochodzenie, jeżeli na podstawie okoliczności sprawy lub oświadczeń strony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przeciwnej powziął wątpliwości co do rzeczywistego stanu majątkowego strony domagającej się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zwolnienia od kosztów sądowych lub z niego korzystającej (art. 109 ust. 1 ustawy z dnia 28 lipca 2005 r.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 kosztach sądowych w sprawach cywilnych (Dz. U. z 2014 r. poz. 1025, z późn. zm.)).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Stronę, która uzyskała zwolnienie od kosztów sądowych na skutek świadomego podania nieprawdziwych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okoliczności, sąd skaże na grzywnę w wysokości do 1000 złotych; niezależnie od jej obowiązku uiszczenia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grzywny strona powinna uiścić wszystkie przepisane opłaty i pokryć obciążające ją wydatki. Osobę, która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ponownie zgłosiła wniosek o zwolnienie od kosztów sądowych, świadomie podając nieprawdziwe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okoliczności o stanie rodzinnym, majątku, dochodach i źródłach utrzymania, sąd, odrzucając wniosek,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skazuje na grzywnę w wysokości do 2000 złotych (art. 111 ustawy z dnia 28 lipca 2005 r. o kosztach</w:t>
            </w:r>
          </w:p>
          <w:p w:rsidR="00227A26" w:rsidRDefault="00227A26" w:rsidP="002E3B6C">
            <w:pPr>
              <w:ind w:left="152"/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sądowych w sprawach cywilnych (Dz. U. z 2014 r. poz. 1025, z późn. zm.)).</w:t>
            </w:r>
          </w:p>
          <w:p w:rsidR="00227A26" w:rsidRDefault="00227A26" w:rsidP="00307974">
            <w:pPr>
              <w:ind w:left="152" w:hanging="152"/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1.</w:t>
            </w:r>
            <w:r>
              <w:rPr>
                <w:rFonts w:cs="Verdana"/>
                <w:b/>
                <w:bCs/>
                <w:sz w:val="18"/>
                <w:szCs w:val="18"/>
              </w:rPr>
              <w:tab/>
              <w:t>Sąd, do którego jest składane oświadczenie</w:t>
            </w:r>
          </w:p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 w:rsidP="006C5735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(nazwa i siedziba sądu, ewentualnie również właściwy wydział)</w:t>
            </w:r>
          </w:p>
          <w:p w:rsidR="00227A26" w:rsidRDefault="00227A26">
            <w:pPr>
              <w:ind w:left="360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2.</w:t>
            </w:r>
            <w:r>
              <w:rPr>
                <w:rFonts w:cs="Verdana"/>
                <w:b/>
                <w:bCs/>
                <w:sz w:val="18"/>
                <w:szCs w:val="18"/>
              </w:rPr>
              <w:tab/>
              <w:t>Sygnatura sprawy</w:t>
            </w:r>
          </w:p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(wpisuje się, gdy oświadczenie jest składane po złożeniu pozwu lub wniosku)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3.</w:t>
            </w:r>
            <w:r>
              <w:rPr>
                <w:rFonts w:cs="Verdana"/>
                <w:b/>
                <w:bCs/>
                <w:sz w:val="18"/>
                <w:szCs w:val="18"/>
              </w:rPr>
              <w:tab/>
              <w:t>Dane osoby składającej wniosek</w:t>
            </w:r>
          </w:p>
          <w:p w:rsidR="00227A26" w:rsidRDefault="00227A26">
            <w:pPr>
              <w:ind w:left="360" w:hanging="360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Imię i nazwisko, numer PESEL, a w wypadku przedsiębiorców dodatkowo NIP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razie nieposiadania numeru PESEL należy podać imię ojca i imię matki; w razie nieposiadania NIP-u</w:t>
            </w:r>
          </w:p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należy podać informację o jego braku)</w:t>
            </w:r>
          </w:p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4A694B" w:rsidRDefault="004A694B">
            <w:pPr>
              <w:rPr>
                <w:rFonts w:cs="Verdana"/>
              </w:rPr>
            </w:pPr>
          </w:p>
          <w:p w:rsidR="004A694B" w:rsidRDefault="004A694B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</w:tbl>
    <w:p w:rsidR="00227A26" w:rsidRDefault="00227A26">
      <w:pPr>
        <w:rPr>
          <w:rFonts w:cs="Verdana"/>
          <w:sz w:val="2"/>
          <w:szCs w:val="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2789"/>
        <w:gridCol w:w="3920"/>
      </w:tblGrid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lastRenderedPageBreak/>
              <w:t>4. Stan rodzinny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dane osób pozostających we wspólnym gospodarstwie domowym z wnioskodawcą: małżonka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lub osoby pozostającej we wspólnym pożyciu z wnioskodawcą, wstępnych, zstępnych i osób pozostających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stosunku przysposobienia lub pod opieką wnioskodawcy, powinowatych)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1B9" w:rsidRDefault="007B21B9">
            <w:pPr>
              <w:jc w:val="center"/>
              <w:rPr>
                <w:rFonts w:cs="Verdana"/>
                <w:b/>
                <w:bCs/>
                <w:sz w:val="18"/>
                <w:szCs w:val="18"/>
              </w:rPr>
            </w:pP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Imię i nazwisko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B21B9" w:rsidRDefault="00227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Data urodzenia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8"/>
                <w:szCs w:val="18"/>
              </w:rPr>
              <w:t>Rodzaj stosunku łączącego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wskazaną osobę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z wnioskodawcą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5. Majątek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stan majątkowy wnioskodawcy, wskazując jednocześnie tytuł prawny (np. własność,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użytkowanie wieczyste); jeżeli przedmioty wchodzące w skład majątku są przedmiotem współwłasności lub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współużytkowania wieczystego, należy w stosunku do każdego z nich podać udział lub zaznaczyć, że wchodzą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w skład majątku objętego małżeńską wspólnością majątkową)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Nieruchomości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nieruchomość przeznaczona do stałego zamieszkiwania przez wnioskodawcę (nieruchomość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zabudowana domem mieszkalnym lub mieszkanie)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podać adres, powierzchnię działki, domu, mieszkania w m</w:t>
            </w:r>
            <w:r>
              <w:rPr>
                <w:rFonts w:cs="Verdana"/>
                <w:sz w:val="16"/>
                <w:szCs w:val="16"/>
                <w:vertAlign w:val="superscript"/>
              </w:rPr>
              <w:t>2</w:t>
            </w:r>
            <w:r>
              <w:rPr>
                <w:rFonts w:cs="Verdana"/>
                <w:sz w:val="16"/>
                <w:szCs w:val="16"/>
              </w:rPr>
              <w:t xml:space="preserve"> i szacunkową wartość)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nieruchomość rolna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podać adres, powierzchnię w hektarach, szacunkową wartość i sposób rolniczego wykorzystania; jeżeli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nieruchomość stanowi gospodarstwo rolne, należy wskazać osobno powierzchnię gruntów rolnych i leśnych,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liczbę budynków, liczbę i rodzaj urządzeń służących do produkcji, liczbę i rodzaj inwentarza żywego)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inne nieruchomości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podać adres, powierzchnię w hektarach lub w m</w:t>
            </w:r>
            <w:r>
              <w:rPr>
                <w:rFonts w:cs="Verdana"/>
                <w:sz w:val="16"/>
                <w:szCs w:val="16"/>
                <w:vertAlign w:val="superscript"/>
              </w:rPr>
              <w:t>2</w:t>
            </w:r>
            <w:r>
              <w:rPr>
                <w:rFonts w:cs="Verdana"/>
                <w:sz w:val="16"/>
                <w:szCs w:val="16"/>
              </w:rPr>
              <w:t>, szacunkową wartość i sposób wykorzystania)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</w:tbl>
    <w:p w:rsidR="00227A26" w:rsidRDefault="00227A26">
      <w:pPr>
        <w:rPr>
          <w:rFonts w:cs="Verdana"/>
          <w:sz w:val="2"/>
          <w:szCs w:val="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lastRenderedPageBreak/>
              <w:t>Pozostały majątek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oszczędności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wartość nominalną i walutę kwot znajdujących się na rachunkach bankowych oraz posiadanych</w:t>
            </w:r>
          </w:p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zasobów pieniężnych w gotówce)</w:t>
            </w:r>
          </w:p>
          <w:p w:rsidR="00227A26" w:rsidRDefault="00227A26">
            <w:pPr>
              <w:jc w:val="both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papiery wartościowe i inne prawa majątkowe, np. udziały, polisy inwestycyjne, jednostki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uczestnictwa w funduszach inwestycyjnych, polisolokaty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rodzaj i wartość nominalną lub szacunkową)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wierzytelności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(w przypadku wierzytelności pieniężnych należy wpisać należność (kwotę pieniężną) przypadającą od innej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osoby lub osób oraz termin, w jakim powinna być zapłacona; w przypadku wierzytelności niepieniężnych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należy podać obowiązek niepieniężny, który ma spełnić inna osoba lub osoby, jego wartość szacunkową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termin jego spełnienia; należy także wskazać sposób zabezpieczenia wierzytelności, np. weksel, hipoteka,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przewłaszczenie na zabezpieczenie)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inne przedmioty wartościowe (ruchomości) o wartości wyższej niż 5000 zł, np. samochody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i inne pojazdy mechaniczne, maszyny, urządzenia elektroniczne, biżuteria, sprzęt RTV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i AGD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nazwę, rodzaj/typ, rok produkcji oraz szacunkową wartość każdego przedmiotu odrębnie)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</w:tbl>
    <w:p w:rsidR="00227A26" w:rsidRDefault="00227A26">
      <w:pPr>
        <w:rPr>
          <w:rFonts w:cs="Verdana"/>
          <w:sz w:val="2"/>
          <w:szCs w:val="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3045"/>
        <w:gridCol w:w="4024"/>
      </w:tblGrid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lastRenderedPageBreak/>
              <w:t>6. Dochody i źródła utrzymania wnioskodawcy i osób pozostających we wspólnym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gospodarstwie domowym</w:t>
            </w:r>
          </w:p>
          <w:p w:rsidR="00227A26" w:rsidRDefault="00227A26">
            <w:pPr>
              <w:jc w:val="both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odrębnie dla każdej osoby wszystkie dochody i źródła utrzymania np. z tytułu wynagrodzenia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 pracę, emerytury, renty, działalności wykonywanej osobiście - w tym z wykonania umów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cywilnoprawnych, pełnienia obowiązków społecznych lub obywatelskich, zasiadania w zarządach, radach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nadzorczych i komisjach osób prawnych, z praw autorskich, pokrewnych, praw własności przemysłowej oraz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innych praw twórcy, z najmu, dzierżawy, dywidend, dopłat do produkcji rolniczej i działów specjalnych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produkcji rolnej, alimentów)</w:t>
            </w:r>
          </w:p>
          <w:p w:rsidR="00227A26" w:rsidRDefault="00227A26">
            <w:pPr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7B21B9" w:rsidRDefault="007B21B9">
            <w:pPr>
              <w:jc w:val="center"/>
              <w:rPr>
                <w:rFonts w:cs="Verdana"/>
                <w:b/>
                <w:bCs/>
                <w:sz w:val="18"/>
                <w:szCs w:val="18"/>
              </w:rPr>
            </w:pP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Imię i nazwisko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7B21B9" w:rsidRDefault="00227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Z jakiego tytułu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8"/>
                <w:szCs w:val="18"/>
              </w:rPr>
              <w:t>Dochód miesięczny/roczny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netto</w:t>
            </w:r>
          </w:p>
          <w:p w:rsidR="00227A26" w:rsidRDefault="00227A26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(należy podać wysokość dochodu</w:t>
            </w:r>
          </w:p>
          <w:p w:rsidR="00227A26" w:rsidRDefault="00227A26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 właściwy okres rozliczeniowy)</w:t>
            </w:r>
          </w:p>
          <w:p w:rsidR="00227A26" w:rsidRDefault="00227A26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</w:p>
          <w:p w:rsidR="00227A26" w:rsidRDefault="00227A26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  <w:p w:rsidR="00A65E15" w:rsidRDefault="00A65E15">
            <w:pPr>
              <w:jc w:val="center"/>
              <w:rPr>
                <w:rFonts w:cs="Verdana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jc w:val="center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A26" w:rsidRDefault="00227A26">
            <w:pPr>
              <w:jc w:val="center"/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7. Zobowiązania i stałe wydatki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(należy wpisać np. kredyty, pożyczki, raty leasingowe, alimenty, czynsze najmu, dzierżawy, koszty ponoszone</w:t>
            </w:r>
          </w:p>
          <w:p w:rsidR="00227A26" w:rsidRDefault="00227A26" w:rsidP="007B21B9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na mieszkanie, opłaty za media, koszty leczenia, rehabilitacji, ubezpieczenia majątku)</w:t>
            </w: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</w:tbl>
    <w:p w:rsidR="00227A26" w:rsidRDefault="00227A26">
      <w:pPr>
        <w:rPr>
          <w:rFonts w:cs="Verdana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lastRenderedPageBreak/>
              <w:t>8. Inne dane, które wnioskodawca uważa za istotne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  <w:p w:rsidR="00A65E15" w:rsidRDefault="00A65E15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9. Miejscowość i data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rFonts w:cs="Verdana"/>
              </w:rPr>
            </w:pPr>
          </w:p>
          <w:p w:rsidR="00227A26" w:rsidRDefault="00227A26">
            <w:pPr>
              <w:rPr>
                <w:rFonts w:cs="Verdana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A26" w:rsidRDefault="00227A26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b/>
                <w:bCs/>
                <w:sz w:val="18"/>
                <w:szCs w:val="18"/>
              </w:rPr>
              <w:t>10. Podpis wnioskodawcy</w:t>
            </w:r>
          </w:p>
          <w:p w:rsidR="00227A26" w:rsidRDefault="00227A26">
            <w:pPr>
              <w:rPr>
                <w:rFonts w:cs="Verdana"/>
                <w:sz w:val="18"/>
                <w:szCs w:val="18"/>
              </w:rPr>
            </w:pPr>
          </w:p>
        </w:tc>
      </w:tr>
      <w:tr w:rsidR="00227A26" w:rsidTr="00307974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26" w:rsidRDefault="00227A26">
            <w:pPr>
              <w:rPr>
                <w:sz w:val="24"/>
                <w:szCs w:val="24"/>
              </w:rPr>
            </w:pPr>
          </w:p>
          <w:p w:rsidR="00A65E15" w:rsidRDefault="00A65E15">
            <w:pPr>
              <w:rPr>
                <w:sz w:val="24"/>
                <w:szCs w:val="24"/>
              </w:rPr>
            </w:pPr>
          </w:p>
        </w:tc>
      </w:tr>
    </w:tbl>
    <w:p w:rsidR="00227A26" w:rsidRDefault="00227A26">
      <w:pPr>
        <w:rPr>
          <w:sz w:val="24"/>
          <w:szCs w:val="24"/>
        </w:rPr>
      </w:pPr>
    </w:p>
    <w:sectPr w:rsidR="00227A26" w:rsidSect="00307974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227A26"/>
    <w:rsid w:val="002E3B6C"/>
    <w:rsid w:val="00307974"/>
    <w:rsid w:val="00395913"/>
    <w:rsid w:val="004A694B"/>
    <w:rsid w:val="00574AC5"/>
    <w:rsid w:val="00620911"/>
    <w:rsid w:val="006C5735"/>
    <w:rsid w:val="007B21B9"/>
    <w:rsid w:val="00826081"/>
    <w:rsid w:val="00A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947206-DA6A-418A-B7E3-81EFDFC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Oklej</dc:creator>
  <cp:keywords/>
  <dc:description/>
  <cp:lastModifiedBy>Lasota Agnieszka</cp:lastModifiedBy>
  <cp:revision>2</cp:revision>
  <dcterms:created xsi:type="dcterms:W3CDTF">2021-03-15T07:17:00Z</dcterms:created>
  <dcterms:modified xsi:type="dcterms:W3CDTF">2021-03-15T07:17:00Z</dcterms:modified>
</cp:coreProperties>
</file>