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AAFA" w14:textId="1566D428" w:rsidR="0096381F" w:rsidRPr="00957478" w:rsidRDefault="00080A92" w:rsidP="0096381F">
      <w:pPr>
        <w:spacing w:after="4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PRZEWODNIK DOTYCZĄCY</w:t>
      </w:r>
      <w:r w:rsidRPr="00957478">
        <w:rPr>
          <w:rFonts w:ascii="Times New Roman" w:hAnsi="Times New Roman" w:cs="Times New Roman"/>
          <w:b/>
          <w:bCs/>
        </w:rPr>
        <w:t xml:space="preserve"> </w:t>
      </w:r>
      <w:r w:rsidR="00B429AA">
        <w:rPr>
          <w:rFonts w:ascii="Times New Roman" w:hAnsi="Times New Roman" w:cs="Times New Roman"/>
          <w:b/>
          <w:bCs/>
        </w:rPr>
        <w:t>MODELOWEGO</w:t>
      </w:r>
      <w:r w:rsidR="00CE773D">
        <w:rPr>
          <w:rFonts w:ascii="Times New Roman" w:hAnsi="Times New Roman" w:cs="Times New Roman"/>
          <w:b/>
          <w:bCs/>
        </w:rPr>
        <w:t xml:space="preserve"> </w:t>
      </w:r>
      <w:r w:rsidRPr="00957478">
        <w:rPr>
          <w:rFonts w:ascii="Times New Roman" w:hAnsi="Times New Roman" w:cs="Times New Roman"/>
          <w:b/>
          <w:bCs/>
        </w:rPr>
        <w:t>PLANU ROZPRAWY</w:t>
      </w:r>
    </w:p>
    <w:p w14:paraId="4C20004D" w14:textId="512E9C1C" w:rsidR="0096381F" w:rsidRPr="00957478" w:rsidRDefault="00080A92" w:rsidP="0096381F">
      <w:pPr>
        <w:pStyle w:val="MW1"/>
      </w:pPr>
      <w:r w:rsidRPr="00957478">
        <w:t xml:space="preserve">Niniejszy dokument zawiera wyjaśnienia oraz rekomendacje </w:t>
      </w:r>
      <w:r w:rsidR="009A3815" w:rsidRPr="00957478">
        <w:t xml:space="preserve">dotyczące stosowania </w:t>
      </w:r>
      <w:r w:rsidR="00B429AA">
        <w:t>modelowego</w:t>
      </w:r>
      <w:r w:rsidR="00B429AA" w:rsidRPr="00957478">
        <w:t xml:space="preserve"> </w:t>
      </w:r>
      <w:r w:rsidR="009A3815" w:rsidRPr="00957478">
        <w:t>planu rozprawy w praktyce.</w:t>
      </w:r>
      <w:r w:rsidR="00452A24">
        <w:t xml:space="preserve"> W pozostałym zakresie metodologia postępowania w odniesieniu do postępowania przygotowawczego wynika z </w:t>
      </w:r>
      <w:r w:rsidR="00B429AA">
        <w:t>modelowych</w:t>
      </w:r>
      <w:r w:rsidR="00906C81">
        <w:t xml:space="preserve"> </w:t>
      </w:r>
      <w:r w:rsidR="00452A24">
        <w:t>protokoł</w:t>
      </w:r>
      <w:r w:rsidR="00906C81">
        <w:t>ów</w:t>
      </w:r>
      <w:r w:rsidR="00452A24">
        <w:t xml:space="preserve"> posiedzenia przygotowawczego.</w:t>
      </w:r>
    </w:p>
    <w:p w14:paraId="02B86EC1" w14:textId="0427B937" w:rsidR="009A3815" w:rsidRPr="00957478" w:rsidRDefault="00080A92" w:rsidP="0096381F">
      <w:pPr>
        <w:pStyle w:val="MW1"/>
      </w:pPr>
      <w:r>
        <w:t>Przewodnik</w:t>
      </w:r>
      <w:r w:rsidRPr="00957478">
        <w:t xml:space="preserve"> składa się z dwóch części:</w:t>
      </w:r>
    </w:p>
    <w:p w14:paraId="787DA15A" w14:textId="500B176E" w:rsidR="009A3815" w:rsidRPr="00957478" w:rsidRDefault="00080A92" w:rsidP="009A3815">
      <w:pPr>
        <w:pStyle w:val="MW2"/>
      </w:pPr>
      <w:r w:rsidRPr="00957478">
        <w:rPr>
          <w:b/>
          <w:bCs/>
        </w:rPr>
        <w:t>Uwagi ogólne</w:t>
      </w:r>
      <w:r w:rsidRPr="00957478">
        <w:t xml:space="preserve"> – uwagi odnoszące się do</w:t>
      </w:r>
      <w:r w:rsidR="00957478" w:rsidRPr="00957478">
        <w:t xml:space="preserve"> sporządzania</w:t>
      </w:r>
      <w:r w:rsidRPr="00957478">
        <w:t xml:space="preserve"> planu rozpr</w:t>
      </w:r>
      <w:r w:rsidRPr="00957478">
        <w:t>awy na bazie wzoru</w:t>
      </w:r>
      <w:r w:rsidR="00957478" w:rsidRPr="00957478">
        <w:t xml:space="preserve"> </w:t>
      </w:r>
      <w:r w:rsidRPr="00957478">
        <w:t>oraz rekomendacje odnoszące się do spos</w:t>
      </w:r>
      <w:r w:rsidR="00957478" w:rsidRPr="00957478">
        <w:t>obu</w:t>
      </w:r>
      <w:r w:rsidRPr="00957478">
        <w:t xml:space="preserve"> jego wykorzystania</w:t>
      </w:r>
      <w:r w:rsidR="00957478" w:rsidRPr="00957478">
        <w:t xml:space="preserve"> w praktyce</w:t>
      </w:r>
      <w:r w:rsidR="00476D55">
        <w:t xml:space="preserve"> (dobre praktyki)</w:t>
      </w:r>
      <w:r w:rsidRPr="00957478">
        <w:t>;</w:t>
      </w:r>
    </w:p>
    <w:p w14:paraId="06A3DF3B" w14:textId="02F91AB2" w:rsidR="0096381F" w:rsidRDefault="00080A92" w:rsidP="00EF145D">
      <w:pPr>
        <w:pStyle w:val="MW2"/>
      </w:pPr>
      <w:r w:rsidRPr="00957478">
        <w:rPr>
          <w:b/>
          <w:bCs/>
        </w:rPr>
        <w:t>Uwagi szczegółowe</w:t>
      </w:r>
      <w:r w:rsidRPr="00957478">
        <w:t xml:space="preserve"> – uwagi odnoszące się do konkretnych postanowień </w:t>
      </w:r>
      <w:r w:rsidR="00B429AA">
        <w:t>modelowego</w:t>
      </w:r>
      <w:r w:rsidR="00B429AA" w:rsidRPr="00957478">
        <w:t xml:space="preserve"> </w:t>
      </w:r>
      <w:r w:rsidRPr="00957478">
        <w:t xml:space="preserve">planu rozprawy, zawierające wskazówki co do wypełnienia konkretnych </w:t>
      </w:r>
      <w:r w:rsidRPr="00957478">
        <w:t>pól bądź wyboru określonych sekcji.</w:t>
      </w:r>
    </w:p>
    <w:p w14:paraId="57B78345" w14:textId="75F42EE7" w:rsidR="00BA752F" w:rsidRPr="00957478" w:rsidRDefault="00080A92" w:rsidP="00BA752F">
      <w:pPr>
        <w:pStyle w:val="MW1"/>
      </w:pPr>
      <w:r>
        <w:t xml:space="preserve">Nagłówki tematyczne zamieszczone w </w:t>
      </w:r>
      <w:r w:rsidR="00C20557">
        <w:t xml:space="preserve">Przewodniku </w:t>
      </w:r>
      <w:r>
        <w:t>odnoszą się tam</w:t>
      </w:r>
      <w:r w:rsidR="00FE2CF1">
        <w:t>,</w:t>
      </w:r>
      <w:r>
        <w:t xml:space="preserve"> gdzie było to możliwe, do nagłówków objaśniających z </w:t>
      </w:r>
      <w:r w:rsidR="00B429AA">
        <w:t xml:space="preserve">modelowego </w:t>
      </w:r>
      <w:r>
        <w:t>planu rozprawy.</w:t>
      </w:r>
    </w:p>
    <w:p w14:paraId="3633C7AE" w14:textId="77777777" w:rsidR="009A3815" w:rsidRPr="00957478" w:rsidRDefault="009A3815" w:rsidP="009A3815">
      <w:pPr>
        <w:pStyle w:val="MW1"/>
        <w:numPr>
          <w:ilvl w:val="0"/>
          <w:numId w:val="0"/>
        </w:numPr>
        <w:ind w:left="431" w:hanging="431"/>
      </w:pPr>
    </w:p>
    <w:p w14:paraId="7B804156" w14:textId="77777777" w:rsidR="009A3815" w:rsidRPr="00957478" w:rsidRDefault="009A3815" w:rsidP="009A3815">
      <w:pPr>
        <w:pStyle w:val="MW1"/>
        <w:numPr>
          <w:ilvl w:val="0"/>
          <w:numId w:val="0"/>
        </w:numPr>
        <w:ind w:left="431" w:hanging="431"/>
      </w:pPr>
    </w:p>
    <w:p w14:paraId="02578C5D" w14:textId="77777777" w:rsidR="009A3815" w:rsidRPr="00957478" w:rsidRDefault="00080A92">
      <w:pPr>
        <w:rPr>
          <w:rFonts w:ascii="Times New Roman" w:hAnsi="Times New Roman" w:cs="Times New Roman"/>
          <w:b/>
          <w:u w:val="single"/>
        </w:rPr>
      </w:pPr>
      <w:bookmarkStart w:id="0" w:name="_Toc37236698"/>
      <w:r w:rsidRPr="00957478">
        <w:br w:type="page"/>
      </w:r>
    </w:p>
    <w:p w14:paraId="73B072AC" w14:textId="77777777" w:rsidR="009A3815" w:rsidRPr="00957478" w:rsidRDefault="00080A92" w:rsidP="009A3815">
      <w:pPr>
        <w:pStyle w:val="NAGOWEK0"/>
      </w:pPr>
      <w:r w:rsidRPr="00957478">
        <w:lastRenderedPageBreak/>
        <w:t xml:space="preserve">CZĘŚĆ PIERWSZA – </w:t>
      </w:r>
      <w:bookmarkEnd w:id="0"/>
      <w:r w:rsidRPr="00957478">
        <w:t>UWAGI OGÓLNE</w:t>
      </w:r>
    </w:p>
    <w:p w14:paraId="532C14BD" w14:textId="65607913" w:rsidR="0001771E" w:rsidRDefault="00080A92" w:rsidP="00241CC9">
      <w:pPr>
        <w:pStyle w:val="MW1"/>
        <w:numPr>
          <w:ilvl w:val="0"/>
          <w:numId w:val="6"/>
        </w:numPr>
      </w:pPr>
      <w:r w:rsidRPr="00957478">
        <w:rPr>
          <w:b/>
          <w:bCs/>
        </w:rPr>
        <w:t>[Minimalne elementy planu rozprawy]</w:t>
      </w:r>
      <w:r w:rsidRPr="00957478">
        <w:t xml:space="preserve"> </w:t>
      </w:r>
      <w:r w:rsidR="00B429AA">
        <w:t>Modelowy</w:t>
      </w:r>
      <w:r w:rsidR="00B429AA" w:rsidRPr="00957478">
        <w:t xml:space="preserve"> </w:t>
      </w:r>
      <w:r w:rsidRPr="00957478">
        <w:t xml:space="preserve">plan rozprawy zawiera </w:t>
      </w:r>
      <w:r w:rsidR="005B272A" w:rsidRPr="00957478">
        <w:t xml:space="preserve">najszerszy możliwy zakres postanowień, pogrupowanych w odpowiednie sekcje. </w:t>
      </w:r>
      <w:r w:rsidR="00512CBA" w:rsidRPr="00747E7E">
        <w:rPr>
          <w:u w:val="single"/>
        </w:rPr>
        <w:t xml:space="preserve">W ramach </w:t>
      </w:r>
      <w:r w:rsidR="005B272A" w:rsidRPr="00747E7E">
        <w:rPr>
          <w:u w:val="single"/>
        </w:rPr>
        <w:t>przygotow</w:t>
      </w:r>
      <w:r w:rsidR="00512CBA" w:rsidRPr="00747E7E">
        <w:rPr>
          <w:u w:val="single"/>
        </w:rPr>
        <w:t xml:space="preserve">ywania </w:t>
      </w:r>
      <w:r w:rsidR="005B272A" w:rsidRPr="00747E7E">
        <w:rPr>
          <w:u w:val="single"/>
        </w:rPr>
        <w:t>plan</w:t>
      </w:r>
      <w:r w:rsidR="00512CBA" w:rsidRPr="00747E7E">
        <w:rPr>
          <w:u w:val="single"/>
        </w:rPr>
        <w:t>u</w:t>
      </w:r>
      <w:r w:rsidR="005B272A" w:rsidRPr="00747E7E">
        <w:rPr>
          <w:u w:val="single"/>
        </w:rPr>
        <w:t xml:space="preserve"> rozprawy</w:t>
      </w:r>
      <w:r w:rsidR="00512CBA" w:rsidRPr="00747E7E">
        <w:rPr>
          <w:u w:val="single"/>
        </w:rPr>
        <w:t xml:space="preserve"> na potrzeby konkretnej sprawy należy wykorzystać</w:t>
      </w:r>
      <w:r w:rsidR="005B272A" w:rsidRPr="00747E7E">
        <w:rPr>
          <w:u w:val="single"/>
        </w:rPr>
        <w:t xml:space="preserve"> jedynie </w:t>
      </w:r>
      <w:r w:rsidR="00CE773D">
        <w:rPr>
          <w:u w:val="single"/>
        </w:rPr>
        <w:t xml:space="preserve">te </w:t>
      </w:r>
      <w:r w:rsidR="005B272A" w:rsidRPr="00747E7E">
        <w:rPr>
          <w:u w:val="single"/>
        </w:rPr>
        <w:t>postanowienia</w:t>
      </w:r>
      <w:r w:rsidR="00512CBA" w:rsidRPr="00747E7E">
        <w:rPr>
          <w:u w:val="single"/>
        </w:rPr>
        <w:t>, które odpowiadają specyfice</w:t>
      </w:r>
      <w:r w:rsidR="005B272A" w:rsidRPr="00747E7E">
        <w:rPr>
          <w:u w:val="single"/>
        </w:rPr>
        <w:t xml:space="preserve"> sprawy, usuwając pozostałe</w:t>
      </w:r>
      <w:r w:rsidR="005B272A" w:rsidRPr="00957478">
        <w:t xml:space="preserve">. </w:t>
      </w:r>
      <w:r w:rsidR="00B429AA">
        <w:t>Modelowy</w:t>
      </w:r>
      <w:r w:rsidR="00A14618" w:rsidRPr="00A14618">
        <w:t xml:space="preserve"> plan rozprawy </w:t>
      </w:r>
      <w:r w:rsidR="00CE773D">
        <w:t>jest narzędziem typu</w:t>
      </w:r>
      <w:r w:rsidR="00D901B2">
        <w:t xml:space="preserve"> </w:t>
      </w:r>
      <w:r w:rsidR="00A14618" w:rsidRPr="00A14618">
        <w:t>„puzzle”, z których przewodniczący i strony powinni wybrać elementy pasujące do danej sprawy.</w:t>
      </w:r>
      <w:r w:rsidR="00A14618">
        <w:t xml:space="preserve"> </w:t>
      </w:r>
      <w:r w:rsidR="00512CBA">
        <w:t xml:space="preserve">W każdym planie rozprawy </w:t>
      </w:r>
      <w:r w:rsidR="005B272A" w:rsidRPr="00957478">
        <w:t>musi znaleźć</w:t>
      </w:r>
      <w:r w:rsidR="00512CBA">
        <w:t xml:space="preserve"> się, oprócz </w:t>
      </w:r>
      <w:r w:rsidR="00512CBA" w:rsidRPr="00957478">
        <w:t xml:space="preserve">elementów formalnych, </w:t>
      </w:r>
      <w:r w:rsidR="00512CBA">
        <w:t>informacje identyfikujące sprawę</w:t>
      </w:r>
      <w:r w:rsidR="00452A24">
        <w:t xml:space="preserve"> oraz podpisy stron/odnotowanie odmowy złożenia podpisu</w:t>
      </w:r>
      <w:r w:rsidR="00512CBA">
        <w:t xml:space="preserve">, </w:t>
      </w:r>
      <w:r w:rsidR="005B272A" w:rsidRPr="00957478">
        <w:t>co najmniej jedno rozstrzygnięcie co do wniosk</w:t>
      </w:r>
      <w:r w:rsidR="002B5758">
        <w:t>ów dowodowych stron</w:t>
      </w:r>
      <w:r w:rsidR="0042137E" w:rsidRPr="00957478">
        <w:t>.</w:t>
      </w:r>
      <w:r w:rsidR="00623B56">
        <w:t xml:space="preserve"> Pozostałe elementy mają charakter fakultatywny.</w:t>
      </w:r>
    </w:p>
    <w:p w14:paraId="5D2488ED" w14:textId="7DC6A8C2" w:rsidR="00623B56" w:rsidRPr="00957478" w:rsidRDefault="00080A92" w:rsidP="00623B56">
      <w:pPr>
        <w:pStyle w:val="MW1"/>
        <w:numPr>
          <w:ilvl w:val="0"/>
          <w:numId w:val="6"/>
        </w:numPr>
      </w:pPr>
      <w:r w:rsidRPr="00957478">
        <w:rPr>
          <w:b/>
          <w:bCs/>
        </w:rPr>
        <w:t xml:space="preserve">[Pełne wykorzystanie możliwości planu rozprawy] </w:t>
      </w:r>
      <w:r w:rsidR="001E76F4">
        <w:t>R</w:t>
      </w:r>
      <w:r w:rsidRPr="00957478">
        <w:t>ekomend</w:t>
      </w:r>
      <w:r w:rsidR="009E6655">
        <w:t xml:space="preserve">owane jest </w:t>
      </w:r>
      <w:r w:rsidRPr="00957478">
        <w:t>wykorzystanie wszystkich elementów</w:t>
      </w:r>
      <w:r>
        <w:t xml:space="preserve">, </w:t>
      </w:r>
      <w:r w:rsidRPr="00957478">
        <w:t>które mogą zostać zawarte w planie rozprawy, wymienionych w art. 205</w:t>
      </w:r>
      <w:r w:rsidRPr="00957478">
        <w:rPr>
          <w:vertAlign w:val="superscript"/>
        </w:rPr>
        <w:t xml:space="preserve">9 </w:t>
      </w:r>
      <w:r w:rsidRPr="00957478">
        <w:t>§ 2 k.p.c.,</w:t>
      </w:r>
      <w:r>
        <w:t xml:space="preserve"> </w:t>
      </w:r>
      <w:r w:rsidRPr="00957478">
        <w:t>w szczególności zawarcie w nim terminów posiedzeń, terminu zamknięcia rozprawy, a</w:t>
      </w:r>
      <w:r w:rsidR="0080464E">
        <w:t> </w:t>
      </w:r>
      <w:r w:rsidRPr="00957478">
        <w:t>nawet terminu ogłoszenia wyroku. Tego rodzaju postanowie</w:t>
      </w:r>
      <w:r w:rsidRPr="00957478">
        <w:t>nia można później zmienić</w:t>
      </w:r>
      <w:r w:rsidR="00A67D26">
        <w:t xml:space="preserve"> (z</w:t>
      </w:r>
      <w:r w:rsidR="0080464E">
        <w:t> </w:t>
      </w:r>
      <w:r w:rsidR="00A67D26">
        <w:t>zastrzeżeniem konieczności przeprowadzenia kolejnego posiedzenia przygotowawczego w razie sprzeciwu choć jednej ze stron – art. 205</w:t>
      </w:r>
      <w:r w:rsidR="00A67D26">
        <w:rPr>
          <w:vertAlign w:val="superscript"/>
        </w:rPr>
        <w:t>11</w:t>
      </w:r>
      <w:r w:rsidR="00A67D26">
        <w:t xml:space="preserve"> § 2 k.p.c.)</w:t>
      </w:r>
      <w:r w:rsidRPr="00957478">
        <w:t xml:space="preserve">, a określenie dokładnych czasowych ram postępowania wywoła pozytywny efekt </w:t>
      </w:r>
      <w:r w:rsidR="006F4C83" w:rsidRPr="00957478">
        <w:t>zarówno względem sądu, jak i stron</w:t>
      </w:r>
      <w:r w:rsidR="006F4C83">
        <w:t xml:space="preserve"> / pełnomocników</w:t>
      </w:r>
      <w:r w:rsidR="006F4C83" w:rsidRPr="00957478">
        <w:t xml:space="preserve"> </w:t>
      </w:r>
      <w:r w:rsidR="006F4C83">
        <w:t>(</w:t>
      </w:r>
      <w:r w:rsidRPr="00957478">
        <w:t>w</w:t>
      </w:r>
      <w:r w:rsidR="0080464E">
        <w:t> </w:t>
      </w:r>
      <w:r w:rsidRPr="00957478">
        <w:t>zakresie organizacji czasu pracy</w:t>
      </w:r>
      <w:r w:rsidR="006F4C83">
        <w:t>)</w:t>
      </w:r>
      <w:r w:rsidRPr="00957478">
        <w:t>.</w:t>
      </w:r>
    </w:p>
    <w:p w14:paraId="5DA5C603" w14:textId="4D24DDF9" w:rsidR="00241CC9" w:rsidRPr="00957478" w:rsidRDefault="00080A92" w:rsidP="0071648F">
      <w:pPr>
        <w:pStyle w:val="MW1"/>
        <w:numPr>
          <w:ilvl w:val="0"/>
          <w:numId w:val="6"/>
        </w:numPr>
      </w:pPr>
      <w:r w:rsidRPr="00957478">
        <w:rPr>
          <w:b/>
          <w:bCs/>
        </w:rPr>
        <w:t>[Podmiot sporządzający plan rozprawy]</w:t>
      </w:r>
      <w:r w:rsidRPr="00957478">
        <w:t xml:space="preserve"> Zgodnie z art. 205</w:t>
      </w:r>
      <w:r w:rsidRPr="00957478">
        <w:rPr>
          <w:vertAlign w:val="superscript"/>
        </w:rPr>
        <w:t>5</w:t>
      </w:r>
      <w:r w:rsidRPr="00957478">
        <w:t xml:space="preserve"> § 1 k.p.c. plan rozprawy sporządza się z udziałem stron. Nie ma przeszkód, aby projekt planu rozprawy przygotował w</w:t>
      </w:r>
      <w:r w:rsidRPr="00957478">
        <w:t>cześniej przewodniczący bądź też</w:t>
      </w:r>
      <w:r w:rsidR="00FC5B38">
        <w:t xml:space="preserve"> </w:t>
      </w:r>
      <w:r w:rsidRPr="00957478">
        <w:t>aby strony z własnej inicjatywy przedstawiły przewodniczącemu projekt planu rozprawy.</w:t>
      </w:r>
      <w:r w:rsidR="00F70DE6">
        <w:t xml:space="preserve"> Przewodniczący może również </w:t>
      </w:r>
      <w:r w:rsidR="002F1AA3">
        <w:t xml:space="preserve">zobowiązać </w:t>
      </w:r>
      <w:r w:rsidR="00F70DE6">
        <w:t>stron</w:t>
      </w:r>
      <w:r w:rsidR="003C1FBC">
        <w:t>y</w:t>
      </w:r>
      <w:r w:rsidR="00F70DE6">
        <w:t xml:space="preserve"> </w:t>
      </w:r>
      <w:r w:rsidR="003C1FBC">
        <w:t xml:space="preserve">do </w:t>
      </w:r>
      <w:r w:rsidR="00F70DE6">
        <w:t>sporządzeni</w:t>
      </w:r>
      <w:r w:rsidR="0080464E">
        <w:t>a</w:t>
      </w:r>
      <w:r w:rsidR="00F70DE6">
        <w:t xml:space="preserve"> takiego projektu</w:t>
      </w:r>
      <w:r w:rsidR="00BD0137">
        <w:t xml:space="preserve"> na odroczone posiedzenie przygotowawcze</w:t>
      </w:r>
      <w:r w:rsidR="00F70DE6">
        <w:t xml:space="preserve">, informując je o </w:t>
      </w:r>
      <w:r w:rsidR="00B429AA">
        <w:t xml:space="preserve">modelowym </w:t>
      </w:r>
      <w:r w:rsidR="00F70DE6">
        <w:t>planie rozprawy</w:t>
      </w:r>
      <w:r w:rsidR="00137342">
        <w:t>, który jest</w:t>
      </w:r>
      <w:r w:rsidR="003C1FBC">
        <w:t xml:space="preserve"> dostępny na stronie internetowej </w:t>
      </w:r>
      <w:r w:rsidR="0080464E">
        <w:t>Sądu Okręgowego w Warszawie [na ten moment dokument nie został jeszcze opublikowany]</w:t>
      </w:r>
      <w:r w:rsidR="00F70DE6">
        <w:t>.</w:t>
      </w:r>
      <w:r w:rsidR="007344A4">
        <w:t xml:space="preserve"> </w:t>
      </w:r>
      <w:r w:rsidR="00BD0137">
        <w:t>Brak jakiejkolwiek aktywności strony w</w:t>
      </w:r>
      <w:r w:rsidR="0080464E">
        <w:t> </w:t>
      </w:r>
      <w:r w:rsidR="00BD0137">
        <w:t>przygotowaniu planu rozprawy podczas posiedzenia przygotowawczego może być potraktowany jako sytuacja, w której strona „nie bierze w nim udziału” (art. 205</w:t>
      </w:r>
      <w:r w:rsidR="00BD0137">
        <w:rPr>
          <w:vertAlign w:val="superscript"/>
        </w:rPr>
        <w:t xml:space="preserve">5 </w:t>
      </w:r>
      <w:r w:rsidR="00BD0137">
        <w:t>§ 7 k.p.c.), i powodować konsekwencje w zakresie zwrotu koszów postępowania, o których mowa w art. 103 § 3 k.p.c</w:t>
      </w:r>
      <w:r w:rsidRPr="00957478">
        <w:t>.</w:t>
      </w:r>
    </w:p>
    <w:p w14:paraId="3BAA39BB" w14:textId="1A647971" w:rsidR="0041544D" w:rsidRPr="00957478" w:rsidRDefault="00080A92">
      <w:pPr>
        <w:pStyle w:val="MW1"/>
        <w:numPr>
          <w:ilvl w:val="0"/>
          <w:numId w:val="6"/>
        </w:numPr>
      </w:pPr>
      <w:r w:rsidRPr="00957478">
        <w:rPr>
          <w:b/>
          <w:bCs/>
        </w:rPr>
        <w:t xml:space="preserve">[Przygotowanie posiedzenia przygotowawczego] </w:t>
      </w:r>
      <w:r w:rsidR="00DE503F">
        <w:t>J</w:t>
      </w:r>
      <w:r w:rsidRPr="00957478">
        <w:t>eszcze przed terminem posiedzenia przygotowawczego,</w:t>
      </w:r>
      <w:r w:rsidR="00B2687A">
        <w:t xml:space="preserve"> na którym ma zostać sporządzony plan rozprawy, jego projekt</w:t>
      </w:r>
      <w:r w:rsidRPr="00957478">
        <w:t xml:space="preserve"> </w:t>
      </w:r>
      <w:r w:rsidR="00B2687A">
        <w:t>(</w:t>
      </w:r>
      <w:r w:rsidR="001B1B6D">
        <w:t>uzgodniony przez strony lub zaproponowany przez przewodniczące</w:t>
      </w:r>
      <w:r w:rsidR="00DE503F">
        <w:t>go</w:t>
      </w:r>
      <w:r w:rsidR="00B2687A">
        <w:t>)</w:t>
      </w:r>
      <w:r w:rsidR="001B1B6D">
        <w:t xml:space="preserve"> </w:t>
      </w:r>
      <w:r w:rsidR="00DE503F">
        <w:t>powinien zostać</w:t>
      </w:r>
      <w:r w:rsidR="001B1B6D">
        <w:t xml:space="preserve"> przekazany odpowiednio </w:t>
      </w:r>
      <w:r w:rsidR="00A67D26">
        <w:t xml:space="preserve">przewodniczącemu </w:t>
      </w:r>
      <w:r w:rsidR="009E6655">
        <w:t xml:space="preserve">lub stronom </w:t>
      </w:r>
      <w:r w:rsidR="00DE503F">
        <w:t>w celu zapoznania się i sformułowania</w:t>
      </w:r>
      <w:r w:rsidRPr="00957478">
        <w:t xml:space="preserve"> ewentualnych uwag. Pozwoli to na sprawniejsze sporządzenie planu rozprawy podczas posiedzenia przygotowawczego.</w:t>
      </w:r>
    </w:p>
    <w:p w14:paraId="296386CC" w14:textId="6CF2C83A" w:rsidR="00DE503F" w:rsidRDefault="00080A92" w:rsidP="0071648F">
      <w:pPr>
        <w:pStyle w:val="MW1"/>
        <w:numPr>
          <w:ilvl w:val="0"/>
          <w:numId w:val="6"/>
        </w:numPr>
      </w:pPr>
      <w:r w:rsidRPr="00957478">
        <w:rPr>
          <w:b/>
          <w:bCs/>
        </w:rPr>
        <w:t>[Przygotowanie posiedzenia przygotowawczego]</w:t>
      </w:r>
      <w:r w:rsidRPr="00957478">
        <w:t xml:space="preserve"> </w:t>
      </w:r>
      <w:r w:rsidR="000E0B98">
        <w:t>W celu usprawnienia posiedzenia przygotowawczego przewodniczący może zarządzić uprzednią wymianę pism przygotowawczych, w który</w:t>
      </w:r>
      <w:r w:rsidR="00B2687A">
        <w:t>ch</w:t>
      </w:r>
      <w:r w:rsidR="000E0B98">
        <w:t xml:space="preserve"> strony</w:t>
      </w:r>
      <w:r w:rsidR="004F62ED">
        <w:t xml:space="preserve"> – </w:t>
      </w:r>
      <w:r w:rsidR="00CF75C5">
        <w:t xml:space="preserve">w </w:t>
      </w:r>
      <w:r w:rsidR="004F62ED">
        <w:t xml:space="preserve">formie zestawienia o </w:t>
      </w:r>
      <w:r w:rsidR="00CF75C5">
        <w:t>ustalonej strukturze</w:t>
      </w:r>
      <w:r w:rsidR="004F62ED">
        <w:t xml:space="preserve"> –</w:t>
      </w:r>
      <w:r w:rsidR="000E0B98">
        <w:t xml:space="preserve"> wskażą </w:t>
      </w:r>
      <w:r w:rsidR="00D54FD5">
        <w:t xml:space="preserve">np. </w:t>
      </w:r>
      <w:r w:rsidR="00B2687A">
        <w:t xml:space="preserve">sporne kwestie prawne </w:t>
      </w:r>
      <w:r w:rsidR="000E0B98">
        <w:t xml:space="preserve">i </w:t>
      </w:r>
      <w:r w:rsidR="00B2687A">
        <w:t xml:space="preserve">faktyczne </w:t>
      </w:r>
      <w:r w:rsidR="000E0B98">
        <w:t>wraz ze wskazaniem dowodów na ich poparcie</w:t>
      </w:r>
      <w:r w:rsidR="00D54FD5">
        <w:t>, listę pytań do świadków</w:t>
      </w:r>
      <w:r w:rsidR="000E0B98">
        <w:t xml:space="preserve">. </w:t>
      </w:r>
      <w:r w:rsidR="004F62ED" w:rsidRPr="00957478">
        <w:t>Wskazane jest poddanie pod rozwagę stron przedstawienia takiego zestawienia np. na płycie CD</w:t>
      </w:r>
      <w:r w:rsidR="006F4C83">
        <w:t>/DVD</w:t>
      </w:r>
      <w:r w:rsidR="004F62ED" w:rsidRPr="00957478">
        <w:t xml:space="preserve"> </w:t>
      </w:r>
      <w:r w:rsidR="004F62ED">
        <w:t xml:space="preserve">lub </w:t>
      </w:r>
      <w:r w:rsidR="006F4C83">
        <w:t xml:space="preserve">dysku </w:t>
      </w:r>
      <w:r w:rsidR="006F4C83">
        <w:lastRenderedPageBreak/>
        <w:t>pamięci zewnętrznej typu flash (</w:t>
      </w:r>
      <w:r w:rsidR="004F62ED" w:rsidRPr="00CF75C5">
        <w:t>pendrive</w:t>
      </w:r>
      <w:r w:rsidR="006F4C83">
        <w:t>)</w:t>
      </w:r>
      <w:r w:rsidR="004F62ED">
        <w:rPr>
          <w:i/>
          <w:iCs/>
        </w:rPr>
        <w:t xml:space="preserve"> </w:t>
      </w:r>
      <w:r w:rsidR="004F62ED" w:rsidRPr="00957478">
        <w:t xml:space="preserve">w formacie </w:t>
      </w:r>
      <w:r w:rsidR="004F62ED">
        <w:t>edytowalnym</w:t>
      </w:r>
      <w:r w:rsidR="006F4C83">
        <w:t xml:space="preserve"> (</w:t>
      </w:r>
      <w:r w:rsidR="007C5942">
        <w:t xml:space="preserve">np. MS </w:t>
      </w:r>
      <w:r w:rsidR="006F4C83">
        <w:t>Word)</w:t>
      </w:r>
      <w:r w:rsidR="004F62ED" w:rsidRPr="00957478">
        <w:t>, aby protokolant mógł wykorzystać konkretne fragmenty zestawienia w ramach przygotowania planu rozprawy.</w:t>
      </w:r>
    </w:p>
    <w:p w14:paraId="1529E97E" w14:textId="09C8E6DA" w:rsidR="001F3E12" w:rsidRPr="00957478" w:rsidRDefault="00080A92" w:rsidP="0071648F">
      <w:pPr>
        <w:pStyle w:val="MW1"/>
        <w:numPr>
          <w:ilvl w:val="0"/>
          <w:numId w:val="6"/>
        </w:numPr>
      </w:pPr>
      <w:r w:rsidRPr="00957478">
        <w:rPr>
          <w:b/>
          <w:bCs/>
        </w:rPr>
        <w:t>[Samoistny charakter planu rozprawy]</w:t>
      </w:r>
      <w:r w:rsidR="007B1737" w:rsidRPr="00957478">
        <w:rPr>
          <w:b/>
          <w:bCs/>
        </w:rPr>
        <w:t xml:space="preserve"> </w:t>
      </w:r>
      <w:r w:rsidR="00BA5FDE">
        <w:t>P</w:t>
      </w:r>
      <w:r w:rsidR="0089256D" w:rsidRPr="00957478">
        <w:t>lan rozprawy powinien w możliwym zakresie stanowić dokument o charakterze samoistnym, niewymagający sięgania do innych dokumentów lub pism zgromadzonych w aktach sprawy. Pozwoli to na jego wykorzystywanie przez sędziów oraz strony</w:t>
      </w:r>
      <w:r w:rsidR="00ED5988" w:rsidRPr="00957478">
        <w:t xml:space="preserve"> jako zwięzłego podsumowania całej sprawy, swego rodzaju „scenariusza”. Z tego względu technika odwołań</w:t>
      </w:r>
      <w:r w:rsidR="00623B56">
        <w:t xml:space="preserve"> (odesłań)</w:t>
      </w:r>
      <w:r w:rsidR="00ED5988" w:rsidRPr="00957478">
        <w:t xml:space="preserve"> w planie rozprawy do konkretnych pism lub dokumentów </w:t>
      </w:r>
      <w:r w:rsidR="00015332">
        <w:t>(dopuszczalna na gruncie art. 205</w:t>
      </w:r>
      <w:r w:rsidR="00015332">
        <w:rPr>
          <w:vertAlign w:val="superscript"/>
        </w:rPr>
        <w:t xml:space="preserve">9 </w:t>
      </w:r>
      <w:r w:rsidR="00015332">
        <w:t xml:space="preserve">§ 3 k.p.c.) </w:t>
      </w:r>
      <w:r w:rsidR="00ED5988" w:rsidRPr="00957478">
        <w:t>powinna być ograniczona do minimum, jeśli nie jest to konieczne ze względu na np. zbyt szeroki zakres wniosków dowodowych stron.</w:t>
      </w:r>
      <w:r w:rsidR="006F4C83" w:rsidRPr="006F4C83">
        <w:t xml:space="preserve"> </w:t>
      </w:r>
      <w:r w:rsidR="006F4C83">
        <w:t xml:space="preserve">W przypadku, gdy np. lista faktów spornych wraz z dowodami na ich poparcie stanowiła załącznik do pisma procesowego stron rekomendowane jest załączenie kopii tej listy </w:t>
      </w:r>
      <w:r w:rsidR="007C5942">
        <w:t>d</w:t>
      </w:r>
      <w:r w:rsidR="006F4C83">
        <w:t>o planu rozprawy.</w:t>
      </w:r>
    </w:p>
    <w:p w14:paraId="03EF4F02" w14:textId="7FEC2C5E" w:rsidR="009A3815" w:rsidRDefault="00080A92" w:rsidP="0071648F">
      <w:pPr>
        <w:pStyle w:val="MW1"/>
        <w:numPr>
          <w:ilvl w:val="0"/>
          <w:numId w:val="6"/>
        </w:numPr>
      </w:pPr>
      <w:r w:rsidRPr="00957478">
        <w:rPr>
          <w:b/>
          <w:bCs/>
        </w:rPr>
        <w:t>[Negatywne postanowienia dowodowe]</w:t>
      </w:r>
      <w:r w:rsidR="006A6199">
        <w:t xml:space="preserve"> </w:t>
      </w:r>
      <w:r w:rsidR="00BB71C6">
        <w:t>Rekomendowane jest o</w:t>
      </w:r>
      <w:r w:rsidR="009E6655">
        <w:t>graniczenie planu rozprawy</w:t>
      </w:r>
      <w:r w:rsidR="006A6199">
        <w:t xml:space="preserve"> </w:t>
      </w:r>
      <w:r w:rsidRPr="00957478">
        <w:t>wyłącznie</w:t>
      </w:r>
      <w:r w:rsidR="0052036B">
        <w:t xml:space="preserve"> do</w:t>
      </w:r>
      <w:r w:rsidRPr="00957478">
        <w:t xml:space="preserve"> pozytywn</w:t>
      </w:r>
      <w:r w:rsidR="009E6655">
        <w:t>ych</w:t>
      </w:r>
      <w:r w:rsidRPr="00957478">
        <w:t xml:space="preserve"> rozstrzygnię</w:t>
      </w:r>
      <w:r w:rsidR="009E6655">
        <w:t>ć o</w:t>
      </w:r>
      <w:r w:rsidRPr="00957478">
        <w:t xml:space="preserve"> wniosk</w:t>
      </w:r>
      <w:r w:rsidR="009E6655">
        <w:t>ach</w:t>
      </w:r>
      <w:r w:rsidRPr="00957478">
        <w:t xml:space="preserve"> dowodowych</w:t>
      </w:r>
      <w:r w:rsidR="00BB71C6">
        <w:t>, co</w:t>
      </w:r>
      <w:r w:rsidR="009E6655">
        <w:t xml:space="preserve"> pozwoli </w:t>
      </w:r>
      <w:r w:rsidR="00DE503F">
        <w:t xml:space="preserve">uniknąć wątpliwości ze strony profesjonalnych </w:t>
      </w:r>
      <w:r w:rsidR="00CF75C5">
        <w:t xml:space="preserve">pełnomocników </w:t>
      </w:r>
      <w:r w:rsidR="00DE503F">
        <w:t xml:space="preserve">dotyczących możliwości podpisania </w:t>
      </w:r>
      <w:r w:rsidR="004F62ED">
        <w:t xml:space="preserve">przez nich </w:t>
      </w:r>
      <w:r w:rsidR="00DE503F">
        <w:t>planu rozprawy</w:t>
      </w:r>
      <w:r w:rsidR="004F62ED">
        <w:t xml:space="preserve"> zawierającego niekorzystne dla ich klienta rozstrzygnięcie</w:t>
      </w:r>
      <w:r w:rsidR="009E6655">
        <w:t>. N</w:t>
      </w:r>
      <w:r w:rsidRPr="00957478">
        <w:t xml:space="preserve">egatywne rozstrzygnięcia (np. pominięcie dowodu przedstawionego przez stronę) </w:t>
      </w:r>
      <w:r w:rsidR="009E6655">
        <w:t>powinny zostać wówczas zawarte</w:t>
      </w:r>
      <w:r w:rsidRPr="00957478">
        <w:t xml:space="preserve"> w odrębnym postano</w:t>
      </w:r>
      <w:r w:rsidRPr="00957478">
        <w:t>wieniu, co umożliwi stronom złożenie zastrzeżenia do protokołu w tym zakresie (art. 162 k.p.c.)</w:t>
      </w:r>
      <w:r w:rsidR="00A07A21">
        <w:t xml:space="preserve"> i wykluczy wątpliwości, czy zastrzeżenie takie można złożyć w odniesieniu do postanowień planu rozprawy</w:t>
      </w:r>
      <w:r w:rsidRPr="00957478">
        <w:t>.</w:t>
      </w:r>
    </w:p>
    <w:p w14:paraId="56D01E0E" w14:textId="1A2D6899" w:rsidR="00681859" w:rsidRDefault="00080A92" w:rsidP="00681859">
      <w:pPr>
        <w:pStyle w:val="MW1"/>
        <w:numPr>
          <w:ilvl w:val="0"/>
          <w:numId w:val="6"/>
        </w:numPr>
      </w:pPr>
      <w:r w:rsidRPr="00681859">
        <w:rPr>
          <w:b/>
          <w:bCs/>
        </w:rPr>
        <w:t xml:space="preserve">[Porządek składania dalszych pism] </w:t>
      </w:r>
      <w:r w:rsidRPr="00957478">
        <w:t xml:space="preserve">Jeżeli </w:t>
      </w:r>
      <w:r>
        <w:t>po przeprowad</w:t>
      </w:r>
      <w:r>
        <w:t xml:space="preserve">zeniu postępowania dowodowego </w:t>
      </w:r>
      <w:r w:rsidRPr="00957478">
        <w:t xml:space="preserve">zachodzi potrzeba złożenia przez strony dalszych pism przygotowawczych, </w:t>
      </w:r>
      <w:r>
        <w:t>w szczególności pism roztrząsających wyniki postepowania dowodowego lub pism podsumowujących, plan</w:t>
      </w:r>
      <w:r w:rsidRPr="00957478">
        <w:t xml:space="preserve"> rozprawy </w:t>
      </w:r>
      <w:r>
        <w:t>można uzupełnić o</w:t>
      </w:r>
      <w:r w:rsidRPr="00957478">
        <w:t xml:space="preserve"> szczegółowy porządek ich skł</w:t>
      </w:r>
      <w:r w:rsidRPr="00957478">
        <w:t>adania. Można również rozważyć uzgodnienie ze stronami długości oraz wymogów technicznych, jakie takie pisma powinny spełniać (np. odpowiednia wielkość czcionki, struktura pisma).</w:t>
      </w:r>
    </w:p>
    <w:p w14:paraId="5B1279C4" w14:textId="7195964C" w:rsidR="002844AA" w:rsidRPr="006B290A" w:rsidRDefault="00080A92" w:rsidP="00681859">
      <w:pPr>
        <w:pStyle w:val="MW1"/>
        <w:numPr>
          <w:ilvl w:val="0"/>
          <w:numId w:val="6"/>
        </w:numPr>
      </w:pPr>
      <w:r>
        <w:rPr>
          <w:b/>
          <w:bCs/>
        </w:rPr>
        <w:t xml:space="preserve">[Udział interwenienta ubocznego] </w:t>
      </w:r>
      <w:r w:rsidR="009C27AB" w:rsidRPr="0057075C">
        <w:rPr>
          <w:bCs/>
        </w:rPr>
        <w:t>Jeśli</w:t>
      </w:r>
      <w:r w:rsidR="009C27AB">
        <w:rPr>
          <w:b/>
          <w:bCs/>
        </w:rPr>
        <w:t xml:space="preserve"> </w:t>
      </w:r>
      <w:r w:rsidR="009C27AB" w:rsidRPr="0057075C">
        <w:t>i</w:t>
      </w:r>
      <w:r w:rsidR="006B290A" w:rsidRPr="006B290A">
        <w:rPr>
          <w:bCs/>
        </w:rPr>
        <w:t>nterwenient</w:t>
      </w:r>
      <w:r w:rsidR="006B290A" w:rsidRPr="0057075C">
        <w:rPr>
          <w:bCs/>
        </w:rPr>
        <w:t xml:space="preserve"> uboczny</w:t>
      </w:r>
      <w:r w:rsidR="009C27AB">
        <w:rPr>
          <w:bCs/>
        </w:rPr>
        <w:t xml:space="preserve"> przystąpił do sprawy</w:t>
      </w:r>
      <w:r w:rsidR="004975A0">
        <w:rPr>
          <w:bCs/>
        </w:rPr>
        <w:t xml:space="preserve"> na etapie posiedzenia przygotowawczego</w:t>
      </w:r>
      <w:r w:rsidR="0057075C">
        <w:rPr>
          <w:bCs/>
        </w:rPr>
        <w:t xml:space="preserve"> lub wcześniej</w:t>
      </w:r>
      <w:r w:rsidR="009C27AB">
        <w:rPr>
          <w:bCs/>
        </w:rPr>
        <w:t>,</w:t>
      </w:r>
      <w:r w:rsidR="006B290A" w:rsidRPr="0057075C">
        <w:rPr>
          <w:bCs/>
        </w:rPr>
        <w:t xml:space="preserve"> bierze </w:t>
      </w:r>
      <w:r w:rsidR="009C27AB">
        <w:rPr>
          <w:bCs/>
        </w:rPr>
        <w:t xml:space="preserve">on </w:t>
      </w:r>
      <w:r w:rsidR="006B290A" w:rsidRPr="0057075C">
        <w:rPr>
          <w:bCs/>
        </w:rPr>
        <w:t>udział w sporządzaniu planu rozprawy</w:t>
      </w:r>
      <w:r w:rsidR="00D97D5F">
        <w:rPr>
          <w:bCs/>
        </w:rPr>
        <w:t xml:space="preserve"> na zasadach ogólnych</w:t>
      </w:r>
      <w:r w:rsidR="009C27AB" w:rsidRPr="009C27AB">
        <w:rPr>
          <w:bCs/>
        </w:rPr>
        <w:t xml:space="preserve">. </w:t>
      </w:r>
      <w:r w:rsidR="009C27AB">
        <w:rPr>
          <w:bCs/>
        </w:rPr>
        <w:t xml:space="preserve">Interwenient uboczny samoistny może podpisać plan rozprawy niezależnie od stanowiska strony, do której przystąpił. </w:t>
      </w:r>
      <w:r w:rsidR="001E1BCC">
        <w:rPr>
          <w:bCs/>
        </w:rPr>
        <w:t>Warto</w:t>
      </w:r>
      <w:r w:rsidR="009C27AB">
        <w:rPr>
          <w:bCs/>
        </w:rPr>
        <w:t xml:space="preserve"> rozważyć dopuszczenie podpisania planu rozprawy również przez interwenienta ubocznego niesamoistnego </w:t>
      </w:r>
      <w:r w:rsidR="001E1BCC">
        <w:rPr>
          <w:bCs/>
        </w:rPr>
        <w:t>nawet</w:t>
      </w:r>
      <w:r w:rsidR="009C27AB">
        <w:rPr>
          <w:bCs/>
        </w:rPr>
        <w:t xml:space="preserve"> wtedy</w:t>
      </w:r>
      <w:r w:rsidR="001E1BCC">
        <w:rPr>
          <w:bCs/>
        </w:rPr>
        <w:t>,</w:t>
      </w:r>
      <w:r w:rsidR="009C27AB">
        <w:rPr>
          <w:bCs/>
        </w:rPr>
        <w:t xml:space="preserve"> gdy strona, do której przystąpił, odmawia </w:t>
      </w:r>
      <w:r w:rsidR="004975A0">
        <w:rPr>
          <w:bCs/>
        </w:rPr>
        <w:t xml:space="preserve">podpisania planu. Podpisanie planu rozprawy przez interwenienta ubocznego niesamoistnego nie wywoła </w:t>
      </w:r>
      <w:r w:rsidR="001E1BCC">
        <w:rPr>
          <w:bCs/>
        </w:rPr>
        <w:t xml:space="preserve">bowiem </w:t>
      </w:r>
      <w:r w:rsidR="004975A0">
        <w:rPr>
          <w:bCs/>
        </w:rPr>
        <w:t xml:space="preserve">dla strony, do której on przystąpił, żadnych skutków prawnych, a może mieć walor </w:t>
      </w:r>
      <w:r w:rsidR="0078601D">
        <w:rPr>
          <w:bCs/>
        </w:rPr>
        <w:t>w</w:t>
      </w:r>
      <w:r w:rsidR="00D97D5F">
        <w:rPr>
          <w:bCs/>
        </w:rPr>
        <w:t> </w:t>
      </w:r>
      <w:r w:rsidR="0078601D">
        <w:rPr>
          <w:bCs/>
        </w:rPr>
        <w:t xml:space="preserve">postaci </w:t>
      </w:r>
      <w:r w:rsidR="004975A0">
        <w:rPr>
          <w:bCs/>
        </w:rPr>
        <w:t>zwiększenia zaangażowania interwenienta</w:t>
      </w:r>
      <w:r w:rsidR="0078601D">
        <w:rPr>
          <w:bCs/>
        </w:rPr>
        <w:t xml:space="preserve"> w </w:t>
      </w:r>
      <w:r w:rsidR="004975A0">
        <w:rPr>
          <w:bCs/>
        </w:rPr>
        <w:t>sprawną realizację tego planu.</w:t>
      </w:r>
    </w:p>
    <w:p w14:paraId="0EB6B71A" w14:textId="77777777" w:rsidR="009A3815" w:rsidRPr="00957478" w:rsidRDefault="009A3815" w:rsidP="009A3815">
      <w:pPr>
        <w:pStyle w:val="MW1"/>
        <w:numPr>
          <w:ilvl w:val="0"/>
          <w:numId w:val="0"/>
        </w:numPr>
        <w:ind w:left="431" w:hanging="431"/>
      </w:pPr>
    </w:p>
    <w:p w14:paraId="129B1CD7" w14:textId="77777777" w:rsidR="00A9591D" w:rsidRPr="00957478" w:rsidRDefault="00080A92">
      <w:pPr>
        <w:rPr>
          <w:rFonts w:ascii="Times New Roman" w:hAnsi="Times New Roman" w:cs="Times New Roman"/>
          <w:b/>
          <w:u w:val="single"/>
        </w:rPr>
      </w:pPr>
      <w:r w:rsidRPr="00957478">
        <w:br w:type="page"/>
      </w:r>
    </w:p>
    <w:p w14:paraId="63AE2704" w14:textId="77777777" w:rsidR="00A02AE5" w:rsidRPr="00957478" w:rsidRDefault="00080A92" w:rsidP="00A02AE5">
      <w:pPr>
        <w:pStyle w:val="NAGOWEK0"/>
      </w:pPr>
      <w:r w:rsidRPr="00957478">
        <w:t>CZĘŚĆ DRUGA – UWAGI SZCZEGÓŁOWE</w:t>
      </w:r>
    </w:p>
    <w:p w14:paraId="2B1BA629" w14:textId="77777777" w:rsidR="004D050B" w:rsidRPr="007B32E2" w:rsidRDefault="00080A92" w:rsidP="00E5703C">
      <w:pPr>
        <w:pStyle w:val="MW1"/>
        <w:numPr>
          <w:ilvl w:val="0"/>
          <w:numId w:val="0"/>
        </w:numPr>
        <w:ind w:left="431"/>
        <w:rPr>
          <w:b/>
          <w:bCs/>
        </w:rPr>
      </w:pPr>
      <w:r w:rsidRPr="007B32E2">
        <w:rPr>
          <w:b/>
          <w:bCs/>
        </w:rPr>
        <w:t>[Postanowienia wstępne]</w:t>
      </w:r>
    </w:p>
    <w:p w14:paraId="5EC24756" w14:textId="18A3FAF8" w:rsidR="004D050B" w:rsidRPr="00957478" w:rsidRDefault="00080A92" w:rsidP="004D050B">
      <w:pPr>
        <w:pStyle w:val="MW1"/>
        <w:numPr>
          <w:ilvl w:val="0"/>
          <w:numId w:val="7"/>
        </w:numPr>
      </w:pPr>
      <w:r w:rsidRPr="00957478">
        <w:rPr>
          <w:b/>
          <w:bCs/>
        </w:rPr>
        <w:t xml:space="preserve">[Zgoda na doręczenia elektroniczne] </w:t>
      </w:r>
      <w:r w:rsidRPr="00957478">
        <w:t xml:space="preserve">Jeżeli strony nie wyrażą zgody na doręczenia elektroniczne na podane adresy </w:t>
      </w:r>
      <w:r w:rsidR="002B5758">
        <w:t>poczty elektronicznej</w:t>
      </w:r>
      <w:r w:rsidR="00354CD1">
        <w:t xml:space="preserve"> w zakresie wszelkich doręczeń przewidzianych planem rozprawy</w:t>
      </w:r>
      <w:r w:rsidR="00476D55">
        <w:t xml:space="preserve"> (co stanowi rozwiązanie rekomendowane)</w:t>
      </w:r>
      <w:r w:rsidR="00DE503F">
        <w:t>,</w:t>
      </w:r>
      <w:r w:rsidRPr="00957478">
        <w:t xml:space="preserve"> </w:t>
      </w:r>
      <w:r w:rsidR="00476D55">
        <w:t>należy podjąć próbę uzyskania</w:t>
      </w:r>
      <w:r w:rsidR="00354CD1">
        <w:t xml:space="preserve"> takiej zgody </w:t>
      </w:r>
      <w:r w:rsidR="00476D55">
        <w:t>przynajmniej w ograniczonym zakresie, tj.</w:t>
      </w:r>
      <w:r w:rsidR="00354CD1">
        <w:t xml:space="preserve"> w odniesieniu do niektórych, wybranych doręczeń (np. doręczenie opinii biegłego), co i tak pozwoli znacząco przyspieszyć postępowanie.</w:t>
      </w:r>
      <w:r w:rsidRPr="00957478">
        <w:t xml:space="preserve"> </w:t>
      </w:r>
    </w:p>
    <w:p w14:paraId="5E37A347" w14:textId="65DFC167" w:rsidR="009914E3" w:rsidRDefault="00080A92" w:rsidP="004D050B">
      <w:pPr>
        <w:pStyle w:val="MW1"/>
        <w:numPr>
          <w:ilvl w:val="0"/>
          <w:numId w:val="7"/>
        </w:numPr>
      </w:pPr>
      <w:r w:rsidRPr="00957478">
        <w:rPr>
          <w:b/>
          <w:bCs/>
        </w:rPr>
        <w:t>[</w:t>
      </w:r>
      <w:r w:rsidR="00957478">
        <w:rPr>
          <w:b/>
          <w:bCs/>
        </w:rPr>
        <w:t>Żądanie pozwu</w:t>
      </w:r>
      <w:r w:rsidRPr="00957478">
        <w:rPr>
          <w:b/>
          <w:bCs/>
        </w:rPr>
        <w:t xml:space="preserve">] </w:t>
      </w:r>
      <w:r w:rsidRPr="00957478">
        <w:t xml:space="preserve">Rekomendowane </w:t>
      </w:r>
      <w:r w:rsidRPr="00957478">
        <w:t>jest dokładne określenie żądania w formule oświadczenia powoda kolejno</w:t>
      </w:r>
      <w:r w:rsidR="00957478">
        <w:t xml:space="preserve"> co do</w:t>
      </w:r>
      <w:r w:rsidRPr="00957478">
        <w:t xml:space="preserve">: i) podstawy prawnej dochodzonego roszczenia; ii) </w:t>
      </w:r>
      <w:r w:rsidR="003D0F37">
        <w:t>oświadczenia, czy roszczenie jest należne</w:t>
      </w:r>
      <w:r w:rsidRPr="00957478">
        <w:t>; iii) daty wymagalności oraz iv) jego wysokości.</w:t>
      </w:r>
    </w:p>
    <w:p w14:paraId="177FD05C" w14:textId="62F952D8" w:rsidR="00957478" w:rsidRDefault="00080A92" w:rsidP="004D050B">
      <w:pPr>
        <w:pStyle w:val="MW1"/>
        <w:numPr>
          <w:ilvl w:val="0"/>
          <w:numId w:val="7"/>
        </w:numPr>
      </w:pPr>
      <w:r>
        <w:rPr>
          <w:b/>
          <w:bCs/>
        </w:rPr>
        <w:t xml:space="preserve">[Żądanie pozwu] </w:t>
      </w:r>
      <w:r w:rsidRPr="00957478">
        <w:t xml:space="preserve">Żądanie pozwu powinno </w:t>
      </w:r>
      <w:r w:rsidRPr="00957478">
        <w:t>zostać przedstawione w planie rozprawy w formie oświadczenia powoda w tej kwestii</w:t>
      </w:r>
      <w:r w:rsidR="003D0F37">
        <w:t xml:space="preserve"> („Powód oświadcza, że</w:t>
      </w:r>
      <w:r w:rsidR="006F4C83">
        <w:t>:…</w:t>
      </w:r>
      <w:r w:rsidR="003D0F37">
        <w:t>”)</w:t>
      </w:r>
      <w:r w:rsidRPr="00957478">
        <w:t>.</w:t>
      </w:r>
      <w:r>
        <w:t xml:space="preserve"> Nie wyklucza to </w:t>
      </w:r>
      <w:r w:rsidR="002B5758">
        <w:t>oczywiście aktywności</w:t>
      </w:r>
      <w:r>
        <w:t xml:space="preserve"> przewodniczącego w toku posiedzenia przygotowawczego w </w:t>
      </w:r>
      <w:r w:rsidR="00820522">
        <w:t>celu do</w:t>
      </w:r>
      <w:r>
        <w:t>precyzowania przez powoda żądania pozwu, jeżeli</w:t>
      </w:r>
      <w:r>
        <w:t xml:space="preserve"> </w:t>
      </w:r>
      <w:r w:rsidR="00906C81">
        <w:t>w</w:t>
      </w:r>
      <w:r>
        <w:t xml:space="preserve"> przedstawionych dotychczas pism</w:t>
      </w:r>
      <w:r w:rsidR="00906C81">
        <w:t>ach</w:t>
      </w:r>
      <w:r>
        <w:t xml:space="preserve"> lub oświadcze</w:t>
      </w:r>
      <w:r w:rsidR="00906C81">
        <w:t>niach</w:t>
      </w:r>
      <w:r>
        <w:t xml:space="preserve"> powoda</w:t>
      </w:r>
      <w:r w:rsidR="00906C81">
        <w:t xml:space="preserve"> zostało ono określone zbyt ogólnie lub nieprecyzyjnie</w:t>
      </w:r>
      <w:r>
        <w:t>.</w:t>
      </w:r>
    </w:p>
    <w:p w14:paraId="7EF42131" w14:textId="2A3EAD82" w:rsidR="006F4C83" w:rsidRPr="00957478" w:rsidRDefault="00080A92" w:rsidP="004D050B">
      <w:pPr>
        <w:pStyle w:val="MW1"/>
        <w:numPr>
          <w:ilvl w:val="0"/>
          <w:numId w:val="7"/>
        </w:numPr>
      </w:pPr>
      <w:r w:rsidRPr="00476D55">
        <w:rPr>
          <w:b/>
          <w:bCs/>
        </w:rPr>
        <w:t xml:space="preserve">[Pouczenie o </w:t>
      </w:r>
      <w:r w:rsidR="007C5942">
        <w:rPr>
          <w:b/>
          <w:bCs/>
        </w:rPr>
        <w:t>innej podstawie prawnej</w:t>
      </w:r>
      <w:r w:rsidRPr="00476D55">
        <w:rPr>
          <w:b/>
          <w:bCs/>
        </w:rPr>
        <w:t>]</w:t>
      </w:r>
      <w:r>
        <w:t xml:space="preserve"> W planie rozprawy można zawrzeć inform</w:t>
      </w:r>
      <w:r w:rsidR="00476D55">
        <w:t>ację</w:t>
      </w:r>
      <w:r w:rsidR="007C5942">
        <w:t xml:space="preserve">, że </w:t>
      </w:r>
      <w:r w:rsidR="00820522">
        <w:t>o </w:t>
      </w:r>
      <w:r w:rsidR="007C5942">
        <w:t>żądaniu lub wniosku strony można rozstrzygnąć na innej podstawie prawnej niż przez nią wskazana</w:t>
      </w:r>
      <w:r w:rsidR="00906C81">
        <w:t>, jeżeli zachodzą podstawy do zastosowania</w:t>
      </w:r>
      <w:r w:rsidR="007C5942">
        <w:t xml:space="preserve"> </w:t>
      </w:r>
      <w:r w:rsidR="00476D55">
        <w:t>art. 156</w:t>
      </w:r>
      <w:r w:rsidR="007C5942">
        <w:rPr>
          <w:vertAlign w:val="superscript"/>
        </w:rPr>
        <w:t>2</w:t>
      </w:r>
      <w:r w:rsidR="00476D55">
        <w:t xml:space="preserve"> k.p.c.</w:t>
      </w:r>
    </w:p>
    <w:p w14:paraId="1D690CAD" w14:textId="4524360C" w:rsidR="002B5758" w:rsidRPr="00E10D63" w:rsidRDefault="00080A92" w:rsidP="00E5703C">
      <w:pPr>
        <w:pStyle w:val="MW1"/>
        <w:numPr>
          <w:ilvl w:val="0"/>
          <w:numId w:val="0"/>
        </w:numPr>
        <w:ind w:left="431"/>
        <w:rPr>
          <w:b/>
          <w:bCs/>
        </w:rPr>
      </w:pPr>
      <w:r w:rsidRPr="00E10D63">
        <w:rPr>
          <w:b/>
          <w:bCs/>
        </w:rPr>
        <w:t>[Fakty sporne</w:t>
      </w:r>
      <w:r w:rsidR="00DE503F" w:rsidRPr="00E10D63">
        <w:rPr>
          <w:b/>
          <w:bCs/>
        </w:rPr>
        <w:t xml:space="preserve"> i bezsporne</w:t>
      </w:r>
      <w:r w:rsidRPr="00E10D63">
        <w:rPr>
          <w:b/>
          <w:bCs/>
        </w:rPr>
        <w:t>]</w:t>
      </w:r>
    </w:p>
    <w:p w14:paraId="6218059D" w14:textId="34711DBD" w:rsidR="009914E3" w:rsidRPr="00957478" w:rsidRDefault="00080A92" w:rsidP="00D54FD5">
      <w:pPr>
        <w:pStyle w:val="MW1"/>
        <w:numPr>
          <w:ilvl w:val="0"/>
          <w:numId w:val="7"/>
        </w:numPr>
      </w:pPr>
      <w:r w:rsidRPr="00D54FD5">
        <w:rPr>
          <w:b/>
          <w:bCs/>
        </w:rPr>
        <w:t>[Zobowiązanie pełnomocników / stron do przedstawienia zakresu faktów spornych / bezspornych</w:t>
      </w:r>
      <w:r w:rsidRPr="00957478">
        <w:t xml:space="preserve">] W bardziej skomplikowanych </w:t>
      </w:r>
      <w:r w:rsidRPr="00957478">
        <w:t>sprawach należy rozważyć wcześniejsze zobowiązanie stron do wskazani</w:t>
      </w:r>
      <w:r w:rsidR="002B5758">
        <w:t>a</w:t>
      </w:r>
      <w:r w:rsidRPr="00957478">
        <w:t xml:space="preserve"> zakresu spornych i bezspornych faktów na piśmie.</w:t>
      </w:r>
    </w:p>
    <w:p w14:paraId="4E9C3DCA" w14:textId="77777777" w:rsidR="00A02AE5" w:rsidRPr="00F23C2C" w:rsidRDefault="00080A92" w:rsidP="00E5703C">
      <w:pPr>
        <w:pStyle w:val="MW1"/>
        <w:numPr>
          <w:ilvl w:val="0"/>
          <w:numId w:val="0"/>
        </w:numPr>
        <w:ind w:left="431"/>
        <w:rPr>
          <w:bCs/>
        </w:rPr>
      </w:pPr>
      <w:r w:rsidRPr="00E5703C">
        <w:rPr>
          <w:b/>
          <w:bCs/>
        </w:rPr>
        <w:t>[Dowody</w:t>
      </w:r>
      <w:r w:rsidR="00622A95" w:rsidRPr="00E5703C">
        <w:rPr>
          <w:b/>
          <w:bCs/>
        </w:rPr>
        <w:t xml:space="preserve"> – postanowienia ogólne</w:t>
      </w:r>
      <w:r w:rsidRPr="00E5703C">
        <w:rPr>
          <w:b/>
          <w:bCs/>
        </w:rPr>
        <w:t>]</w:t>
      </w:r>
    </w:p>
    <w:p w14:paraId="14627E79" w14:textId="5BCA29BF" w:rsidR="00810F95" w:rsidRPr="00957478" w:rsidRDefault="00080A92" w:rsidP="006024C9">
      <w:pPr>
        <w:pStyle w:val="MW1"/>
        <w:numPr>
          <w:ilvl w:val="0"/>
          <w:numId w:val="7"/>
        </w:numPr>
      </w:pPr>
      <w:r w:rsidRPr="00957478">
        <w:rPr>
          <w:b/>
          <w:bCs/>
        </w:rPr>
        <w:t xml:space="preserve">[Zobowiązanie stron do przedstawienia zestawienia dowód </w:t>
      </w:r>
      <w:r w:rsidR="00652920">
        <w:rPr>
          <w:b/>
          <w:bCs/>
        </w:rPr>
        <w:t>–</w:t>
      </w:r>
      <w:r w:rsidRPr="00957478">
        <w:rPr>
          <w:b/>
          <w:bCs/>
        </w:rPr>
        <w:t xml:space="preserve"> fakt</w:t>
      </w:r>
      <w:r w:rsidR="00652920">
        <w:rPr>
          <w:b/>
          <w:bCs/>
        </w:rPr>
        <w:t xml:space="preserve"> sporny</w:t>
      </w:r>
      <w:r w:rsidRPr="00957478">
        <w:rPr>
          <w:b/>
          <w:bCs/>
        </w:rPr>
        <w:t xml:space="preserve">] </w:t>
      </w:r>
      <w:r w:rsidR="00FC6E64">
        <w:t>W przypadku trudnych lub skomplikowanych spraw, w</w:t>
      </w:r>
      <w:r w:rsidRPr="00957478">
        <w:t xml:space="preserve"> ramach przygotowania posiedzenia przygotowawczego przewodniczący może zobowiązać strony do przedstawienia na następne posiedzenie zestawienia w</w:t>
      </w:r>
      <w:r>
        <w:t> </w:t>
      </w:r>
      <w:r w:rsidRPr="00957478">
        <w:t>formule „dowód – fakt</w:t>
      </w:r>
      <w:r w:rsidR="00532BA9">
        <w:t xml:space="preserve"> sporny</w:t>
      </w:r>
      <w:r w:rsidRPr="00957478">
        <w:t>”, przyporządkowując konkretne fakty do dowodów, którymi mają być on</w:t>
      </w:r>
      <w:r w:rsidRPr="00957478">
        <w:t xml:space="preserve">e wykazane. </w:t>
      </w:r>
      <w:r w:rsidR="00FC6E64">
        <w:t xml:space="preserve">W miarę możliwości zestawienie takie powinno zostać przygotowane </w:t>
      </w:r>
      <w:r>
        <w:t xml:space="preserve">w ramach </w:t>
      </w:r>
      <w:r w:rsidR="00FC6E64">
        <w:t xml:space="preserve">współpracy między pełnomocnikami. </w:t>
      </w:r>
      <w:r w:rsidRPr="00957478">
        <w:t>W przypadku skomplikowanego postępowania dowodowego pozwoli to na sprawne przeprowadzenie posiedzenia przygotowawczego</w:t>
      </w:r>
      <w:r w:rsidR="00E10D63">
        <w:t xml:space="preserve">, </w:t>
      </w:r>
      <w:r w:rsidRPr="00957478">
        <w:t>zwłaszcza</w:t>
      </w:r>
      <w:r w:rsidR="00E10D63">
        <w:t xml:space="preserve"> </w:t>
      </w:r>
      <w:r w:rsidRPr="00957478">
        <w:t>gdy kw</w:t>
      </w:r>
      <w:r w:rsidRPr="00957478">
        <w:t xml:space="preserve">estie te nie wynikają wprost ze złożonych dotychczas pozwu i odpowiedzi na pozew. </w:t>
      </w:r>
      <w:r>
        <w:t>W </w:t>
      </w:r>
      <w:r w:rsidR="00FC6E64">
        <w:t>przypadku prostych lub nieskomplikowanych spraw ustalenie zgłaszanych przez strony dowodów i przyporządkowanie im faktów spornych może nastąpić w trakcie posiedzenia przygotowawczego.</w:t>
      </w:r>
    </w:p>
    <w:p w14:paraId="7325DA5D" w14:textId="77777777" w:rsidR="00457510" w:rsidRPr="00E10D63" w:rsidRDefault="00080A92" w:rsidP="00E5703C">
      <w:pPr>
        <w:pStyle w:val="MW1"/>
        <w:numPr>
          <w:ilvl w:val="0"/>
          <w:numId w:val="0"/>
        </w:numPr>
        <w:ind w:left="426"/>
        <w:rPr>
          <w:b/>
          <w:bCs/>
        </w:rPr>
      </w:pPr>
      <w:r w:rsidRPr="00E10D63">
        <w:rPr>
          <w:b/>
          <w:bCs/>
        </w:rPr>
        <w:t>[Dowód z dokumentów]</w:t>
      </w:r>
    </w:p>
    <w:p w14:paraId="0E370538" w14:textId="67BAC77A" w:rsidR="00457510" w:rsidRDefault="00080A92" w:rsidP="00B16689">
      <w:pPr>
        <w:pStyle w:val="MW1"/>
        <w:numPr>
          <w:ilvl w:val="0"/>
          <w:numId w:val="7"/>
        </w:numPr>
      </w:pPr>
      <w:r w:rsidRPr="00957478">
        <w:rPr>
          <w:b/>
          <w:bCs/>
        </w:rPr>
        <w:t>[Cel przywołania dowodów z dokumentów]</w:t>
      </w:r>
      <w:r w:rsidRPr="00957478">
        <w:t xml:space="preserve"> Celem przywołania dowodów z dokumentów oraz faktów, na które zostały powołane, jest przyporządkowanie faktów do konkretnych dokumentów</w:t>
      </w:r>
      <w:r w:rsidR="006A6199">
        <w:t>.</w:t>
      </w:r>
      <w:r w:rsidRPr="00957478">
        <w:t xml:space="preserve"> </w:t>
      </w:r>
      <w:r w:rsidR="006A6199">
        <w:t xml:space="preserve">Pozwoli to ułatwić pracę sędziego i określić znacznie poszczególnych dokumentów dla rozstrzygnięcia sprawy. Postanowienie to nie stanowi postanowienia dowodowego, ponieważ zgodnie z </w:t>
      </w:r>
      <w:r w:rsidRPr="00957478">
        <w:t>art. 243</w:t>
      </w:r>
      <w:r w:rsidRPr="00957478">
        <w:rPr>
          <w:vertAlign w:val="superscript"/>
        </w:rPr>
        <w:t>2</w:t>
      </w:r>
      <w:r w:rsidRPr="00957478">
        <w:t xml:space="preserve"> k.p.c.</w:t>
      </w:r>
      <w:r w:rsidR="006A6199">
        <w:t>, d</w:t>
      </w:r>
      <w:r w:rsidR="006A6199" w:rsidRPr="006A6199">
        <w:t>okumenty znajdujące się w aktach sprawy lub do nich dołączone stanowią dowody bez wydawania odrębnego postanowienia.</w:t>
      </w:r>
    </w:p>
    <w:p w14:paraId="6FCFEA51" w14:textId="68D87CF9" w:rsidR="00A02AE5" w:rsidRPr="00E10D63" w:rsidRDefault="00080A92" w:rsidP="00E5703C">
      <w:pPr>
        <w:pStyle w:val="MW1"/>
        <w:numPr>
          <w:ilvl w:val="0"/>
          <w:numId w:val="0"/>
        </w:numPr>
        <w:ind w:left="431"/>
        <w:rPr>
          <w:b/>
          <w:bCs/>
        </w:rPr>
      </w:pPr>
      <w:r w:rsidRPr="00E10D63">
        <w:rPr>
          <w:b/>
          <w:bCs/>
        </w:rPr>
        <w:t xml:space="preserve">[Dowód z </w:t>
      </w:r>
      <w:r w:rsidR="00C07CF7" w:rsidRPr="00E10D63">
        <w:rPr>
          <w:b/>
          <w:bCs/>
        </w:rPr>
        <w:t xml:space="preserve">zeznań </w:t>
      </w:r>
      <w:r w:rsidRPr="00E10D63">
        <w:rPr>
          <w:b/>
          <w:bCs/>
        </w:rPr>
        <w:t>świadków]</w:t>
      </w:r>
    </w:p>
    <w:p w14:paraId="165D0F61" w14:textId="7D531CE5" w:rsidR="00A02AE5" w:rsidRPr="00957478" w:rsidRDefault="00080A92" w:rsidP="00A02AE5">
      <w:pPr>
        <w:pStyle w:val="MW1"/>
        <w:numPr>
          <w:ilvl w:val="0"/>
          <w:numId w:val="7"/>
        </w:numPr>
      </w:pPr>
      <w:r w:rsidRPr="00957478">
        <w:rPr>
          <w:b/>
          <w:bCs/>
        </w:rPr>
        <w:t>[Tłumacz przysięgły]</w:t>
      </w:r>
      <w:r w:rsidR="00B16689" w:rsidRPr="00957478">
        <w:rPr>
          <w:b/>
          <w:bCs/>
        </w:rPr>
        <w:t xml:space="preserve"> </w:t>
      </w:r>
      <w:r w:rsidR="00B16689" w:rsidRPr="00957478">
        <w:t>W ramach postanowienia o przybraniu tłumacza do przesłuchania świadka niewładającego dostatecznie językiem polskim</w:t>
      </w:r>
      <w:r w:rsidR="00C07CF7">
        <w:t>,</w:t>
      </w:r>
      <w:r w:rsidR="00B16689" w:rsidRPr="00957478">
        <w:t xml:space="preserve"> przewodniczący może zapytać strony, czy mają preferencj</w:t>
      </w:r>
      <w:r w:rsidR="00C07CF7">
        <w:t>e</w:t>
      </w:r>
      <w:r w:rsidR="00B16689" w:rsidRPr="00957478">
        <w:t xml:space="preserve"> co do osoby konkretnego tłumacza</w:t>
      </w:r>
      <w:r w:rsidR="00354CD1">
        <w:t>, a także zwrócić uwagę stron, że zgodnie z art. 265 k.p.c. nie musi być</w:t>
      </w:r>
      <w:r w:rsidR="00FD6770">
        <w:t xml:space="preserve"> to</w:t>
      </w:r>
      <w:r w:rsidR="00354CD1">
        <w:t xml:space="preserve"> tłumacz przysięgły (za zgodą stron i sądu </w:t>
      </w:r>
      <w:r w:rsidR="00FD6770">
        <w:t xml:space="preserve">jako tłumacza można przybrać </w:t>
      </w:r>
      <w:r w:rsidR="00354CD1">
        <w:t>np. pracownik</w:t>
      </w:r>
      <w:r w:rsidR="00FD6770">
        <w:t>a</w:t>
      </w:r>
      <w:r w:rsidR="00354CD1">
        <w:t xml:space="preserve"> jednej ze stron)</w:t>
      </w:r>
      <w:r w:rsidR="00B16689" w:rsidRPr="00957478">
        <w:t>. Może to usprawnić wybór tłumacza, zwłaszcza w sytuacji, gdy</w:t>
      </w:r>
      <w:r w:rsidR="00354CD1">
        <w:t xml:space="preserve"> konieczność przybrania tłumacza dotyczy jednego z powszechnie używanych języków obcych lub gdy</w:t>
      </w:r>
      <w:r w:rsidR="00B16689" w:rsidRPr="00957478">
        <w:t xml:space="preserve"> strony mają dobre doświadczenia </w:t>
      </w:r>
      <w:r w:rsidR="00BA752F">
        <w:t>w</w:t>
      </w:r>
      <w:r w:rsidR="00B16689" w:rsidRPr="00957478">
        <w:t xml:space="preserve"> pracy z konkretnym tłumaczem.</w:t>
      </w:r>
      <w:r w:rsidR="001C0E24">
        <w:t xml:space="preserve"> W przypadku wyboru tłumacza wskazanego przez jedną ze stron, druga strona powinna wyrazić na niego zgodę, aby ograniczyć ryzyko zarzut</w:t>
      </w:r>
      <w:r w:rsidR="00BD480D">
        <w:t>u</w:t>
      </w:r>
      <w:r w:rsidR="001C0E24">
        <w:t xml:space="preserve"> </w:t>
      </w:r>
      <w:r w:rsidR="00673F8C">
        <w:t>stronniczości</w:t>
      </w:r>
      <w:r w:rsidR="001C0E24">
        <w:t xml:space="preserve"> tłumacza </w:t>
      </w:r>
      <w:r w:rsidR="00BD480D">
        <w:t>ze względu na jego</w:t>
      </w:r>
      <w:r w:rsidR="001C0E24">
        <w:t xml:space="preserve"> dotychczasowe związki (choćby o charakterze zawodowym) z jedną ze stron.</w:t>
      </w:r>
    </w:p>
    <w:p w14:paraId="16D030BE" w14:textId="2F6A483D" w:rsidR="009E6655" w:rsidRPr="00957478" w:rsidRDefault="00080A92" w:rsidP="009E6655">
      <w:pPr>
        <w:pStyle w:val="MW1"/>
        <w:numPr>
          <w:ilvl w:val="0"/>
          <w:numId w:val="7"/>
        </w:numPr>
      </w:pPr>
      <w:r>
        <w:rPr>
          <w:b/>
          <w:bCs/>
        </w:rPr>
        <w:t xml:space="preserve">[Pytania do świadków składających zeznania na piśmie] </w:t>
      </w:r>
      <w:r>
        <w:t xml:space="preserve">Należy rozważyć </w:t>
      </w:r>
      <w:r w:rsidRPr="00957478">
        <w:t>wcześniejsze zo</w:t>
      </w:r>
      <w:r w:rsidRPr="00957478">
        <w:t>bowiązanie stron do wskazani</w:t>
      </w:r>
      <w:r>
        <w:t>a</w:t>
      </w:r>
      <w:r w:rsidRPr="00957478">
        <w:t xml:space="preserve"> </w:t>
      </w:r>
      <w:r>
        <w:t>pytań do świadków</w:t>
      </w:r>
      <w:r w:rsidRPr="00957478">
        <w:t xml:space="preserve"> na piśmie.</w:t>
      </w:r>
      <w:r w:rsidR="00906C81">
        <w:t xml:space="preserve"> W ramach pytań skierowanych do świadków przez sąd pierwsze pytanie powinno mieć charakter ogólny np. „Czy wie</w:t>
      </w:r>
      <w:r w:rsidR="00DD5CFC" w:rsidRPr="00DD5CFC">
        <w:t xml:space="preserve"> </w:t>
      </w:r>
      <w:r w:rsidR="00DD5CFC">
        <w:t>Pani/Pan</w:t>
      </w:r>
      <w:r w:rsidR="00906C81">
        <w:t>, czego dotyczy</w:t>
      </w:r>
      <w:r w:rsidR="00E31A3A">
        <w:t xml:space="preserve"> spór</w:t>
      </w:r>
      <w:r w:rsidR="00906C81">
        <w:t>”.</w:t>
      </w:r>
    </w:p>
    <w:p w14:paraId="0B23A9B9" w14:textId="7D3FB9F5" w:rsidR="00A02AE5" w:rsidRPr="00957478" w:rsidRDefault="00080A92" w:rsidP="00A02AE5">
      <w:pPr>
        <w:pStyle w:val="MW1"/>
        <w:numPr>
          <w:ilvl w:val="0"/>
          <w:numId w:val="7"/>
        </w:numPr>
      </w:pPr>
      <w:r w:rsidRPr="00957478">
        <w:rPr>
          <w:b/>
          <w:bCs/>
        </w:rPr>
        <w:t>[Dowód z zeznań świadków obcojęzycznych na piśmie]</w:t>
      </w:r>
      <w:r w:rsidR="00622A95" w:rsidRPr="00957478">
        <w:rPr>
          <w:b/>
          <w:bCs/>
        </w:rPr>
        <w:t xml:space="preserve"> </w:t>
      </w:r>
      <w:r w:rsidR="00622A95" w:rsidRPr="00957478">
        <w:t>W przypadku świadka, który nie włada dostatecznie językiem polskim</w:t>
      </w:r>
      <w:r w:rsidR="00622A95" w:rsidRPr="00957478">
        <w:rPr>
          <w:b/>
          <w:bCs/>
        </w:rPr>
        <w:t xml:space="preserve">, </w:t>
      </w:r>
      <w:r w:rsidR="00622A95" w:rsidRPr="00957478">
        <w:t>przewodniczący może poddać pod rozwagę stron przedłożenie pytań do świadka od razu w dwóch wersjach językowych, ewentualnie wraz z ich tłumaczeniem przysięgłym. Pozwoli to na uniknięcie dodatkowego czasu potrzebnego na przetłumaczenie pytań przed skierowaniem ich do świadka.</w:t>
      </w:r>
    </w:p>
    <w:p w14:paraId="7232DB7F" w14:textId="4C927C8B" w:rsidR="00622A95" w:rsidRDefault="00080A92" w:rsidP="00A02AE5">
      <w:pPr>
        <w:pStyle w:val="MW1"/>
        <w:numPr>
          <w:ilvl w:val="0"/>
          <w:numId w:val="7"/>
        </w:numPr>
      </w:pPr>
      <w:r w:rsidRPr="00957478">
        <w:rPr>
          <w:b/>
          <w:bCs/>
        </w:rPr>
        <w:t xml:space="preserve">[Doręczenie pisemnych zeznań świadków] </w:t>
      </w:r>
      <w:r w:rsidRPr="00957478">
        <w:t xml:space="preserve">Po wpłynięciu pisemnych zeznań świadków do sądu wskazane jest, aby sąd zarządził ich zeskanowanie oraz doręczenie stronom w formie elektronicznej (np. na podane wcześniej adresy </w:t>
      </w:r>
      <w:r w:rsidR="003C1F89">
        <w:t>poczty elektronicznej</w:t>
      </w:r>
      <w:r w:rsidRPr="00957478">
        <w:t>)</w:t>
      </w:r>
      <w:r w:rsidR="00C07CF7">
        <w:t xml:space="preserve"> – w zależności od zgody stron może być to jedyna lub dodatkowa forma doręczenia zeznań.</w:t>
      </w:r>
    </w:p>
    <w:p w14:paraId="2AC0B312" w14:textId="546DF3ED" w:rsidR="00D30B1D" w:rsidRDefault="00080A92" w:rsidP="00A02AE5">
      <w:pPr>
        <w:pStyle w:val="MW1"/>
        <w:numPr>
          <w:ilvl w:val="0"/>
          <w:numId w:val="7"/>
        </w:numPr>
      </w:pPr>
      <w:r>
        <w:rPr>
          <w:b/>
          <w:bCs/>
        </w:rPr>
        <w:t xml:space="preserve">[Udostępnianie dokumentów świadkom składającym zeznania na piśmie] </w:t>
      </w:r>
      <w:r>
        <w:t>W razie potrzeby okazania świadkowi składającemu zeznania na piśmie dokumentu</w:t>
      </w:r>
      <w:r w:rsidR="00E31A3A">
        <w:t xml:space="preserve"> znajdującego się w aktach sprawy</w:t>
      </w:r>
      <w:r>
        <w:t xml:space="preserve"> (np. </w:t>
      </w:r>
      <w:r w:rsidR="00BD480D">
        <w:t>pytanie sformułowane przez stronę dotyczy bezpośrednio treści dokumentu</w:t>
      </w:r>
      <w:r w:rsidR="003D031A">
        <w:t>, który powstał na długi czas przed składaniem zeznań</w:t>
      </w:r>
      <w:r>
        <w:t>), można przewidzieć przesłanie mu wraz z pytaniami/pytaniami uzupełniającymi kopii takiego dokumentu. W takim przypadku konieczna jest jednak ocena, czy dany dokument – ze</w:t>
      </w:r>
      <w:r>
        <w:t xml:space="preserve"> względu na obowiązki w zakresie poufności</w:t>
      </w:r>
      <w:r w:rsidR="007344A4">
        <w:t xml:space="preserve"> (np. tajemnica zawodowa, tajemnica przedsiębiorstwa)</w:t>
      </w:r>
      <w:r>
        <w:t xml:space="preserve"> – może zostać udostępniony</w:t>
      </w:r>
      <w:r w:rsidR="006A6199">
        <w:t xml:space="preserve">. Należy każdorazowo ograniczyć zakres udostępnianych świadkowi dokumentów </w:t>
      </w:r>
      <w:r w:rsidR="007344A4">
        <w:t xml:space="preserve">niezbędnego </w:t>
      </w:r>
      <w:r>
        <w:t>minimum.</w:t>
      </w:r>
    </w:p>
    <w:p w14:paraId="6C22CBFD" w14:textId="695187C0" w:rsidR="003948C3" w:rsidRDefault="00080A92" w:rsidP="00A02AE5">
      <w:pPr>
        <w:pStyle w:val="MW1"/>
        <w:numPr>
          <w:ilvl w:val="0"/>
          <w:numId w:val="7"/>
        </w:numPr>
      </w:pPr>
      <w:r>
        <w:rPr>
          <w:b/>
          <w:bCs/>
        </w:rPr>
        <w:t>[Uzupełniające przesłuchanie świadka n</w:t>
      </w:r>
      <w:r>
        <w:rPr>
          <w:b/>
          <w:bCs/>
        </w:rPr>
        <w:t xml:space="preserve">a rozprawie] </w:t>
      </w:r>
      <w:r>
        <w:t>W razie złożenia przez stronę/strony wniosku o przesłuchanie na rozprawie świadka, który uprzednio złożył zeznania na piśmie, zakres takiego przesłuchania powinien zostać ograniczony do faktów objętych wcześniej sformułowaną tezą dowodową. Prz</w:t>
      </w:r>
      <w:r>
        <w:t>ewodniczący powinien czuwać, aby zadawane świadkowi pytania nie wykraczały poza zakres tezy dowodowej, lecz stanowiły jedynie uzupełnienie już przeprowadzonego dowodu z zeznań świadka na piśmie. Celem uzupełniającego przesłuchania jest bowiem m.in. pogłębi</w:t>
      </w:r>
      <w:r>
        <w:t xml:space="preserve">enie odpowiedzi udzielonych przez świadka na piśmie, zadanie pytań dodatkowych, których potrzeba zadania wyniknęła </w:t>
      </w:r>
      <w:r w:rsidR="001363B8">
        <w:t>z udzielonych przez niego odpowiedzi</w:t>
      </w:r>
      <w:r>
        <w:t>, jak również – w razie potrzeby – powtórzenie pewnych pytań w celu uzyskania swobodnej i naturalnej odpo</w:t>
      </w:r>
      <w:r>
        <w:t>wiedzi w tym zakresie</w:t>
      </w:r>
      <w:r w:rsidR="00C2025B">
        <w:t>, bądź rozwiania wątpliwości co do samodzielnego sporządzenia</w:t>
      </w:r>
      <w:r w:rsidR="003F1F12">
        <w:t xml:space="preserve"> przez świadka</w:t>
      </w:r>
      <w:r w:rsidR="00C2025B">
        <w:t xml:space="preserve"> zeznań na piśmie</w:t>
      </w:r>
      <w:r>
        <w:t xml:space="preserve"> (</w:t>
      </w:r>
      <w:r w:rsidR="001363B8">
        <w:t>zasada bezpośredniości</w:t>
      </w:r>
      <w:r>
        <w:t>).</w:t>
      </w:r>
      <w:r w:rsidR="000D733B">
        <w:t xml:space="preserve"> Możliwe jest również zadawanie pytań, które dotyczą kontaktów strony lub jej pełnomocnika ze świadkiem w okresie poprzedzającym składanie zeznań.</w:t>
      </w:r>
    </w:p>
    <w:p w14:paraId="65E8ECEC" w14:textId="4B492145" w:rsidR="002E2AEB" w:rsidRPr="002E2AEB" w:rsidRDefault="00080A92" w:rsidP="00927C3A">
      <w:pPr>
        <w:pStyle w:val="MW1"/>
        <w:numPr>
          <w:ilvl w:val="0"/>
          <w:numId w:val="0"/>
        </w:numPr>
        <w:ind w:left="360"/>
        <w:rPr>
          <w:b/>
          <w:bCs/>
        </w:rPr>
      </w:pPr>
      <w:r w:rsidRPr="002E2AEB">
        <w:rPr>
          <w:b/>
          <w:bCs/>
        </w:rPr>
        <w:t>[</w:t>
      </w:r>
      <w:r>
        <w:rPr>
          <w:b/>
          <w:bCs/>
        </w:rPr>
        <w:t>Dowód z opinii biegłego</w:t>
      </w:r>
      <w:r w:rsidRPr="002E2AEB">
        <w:rPr>
          <w:b/>
          <w:bCs/>
        </w:rPr>
        <w:t>]</w:t>
      </w:r>
    </w:p>
    <w:p w14:paraId="18A0E109" w14:textId="44FA0199" w:rsidR="007C59C4" w:rsidRDefault="00080A92" w:rsidP="002E2AEB">
      <w:pPr>
        <w:pStyle w:val="MW1"/>
        <w:numPr>
          <w:ilvl w:val="0"/>
          <w:numId w:val="7"/>
        </w:numPr>
      </w:pPr>
      <w:r>
        <w:t>[</w:t>
      </w:r>
      <w:r w:rsidRPr="00927C3A">
        <w:rPr>
          <w:b/>
        </w:rPr>
        <w:t>Kandydaci na biegłych</w:t>
      </w:r>
      <w:r>
        <w:t xml:space="preserve">] Zwracając się o sporządzenie oferty, sąd najpierw przesyła kandydatowi na biegłego podstawowe dane dotyczące postępowania (dane stron, zwięzły opis sporu) </w:t>
      </w:r>
      <w:r w:rsidR="00206043">
        <w:t xml:space="preserve">oraz postanowienie </w:t>
      </w:r>
      <w:r w:rsidR="00DF64D2">
        <w:t>dowodowe</w:t>
      </w:r>
      <w:r w:rsidR="00206043">
        <w:t xml:space="preserve">, </w:t>
      </w:r>
      <w:r w:rsidR="00EC4029">
        <w:t>wyznaczają</w:t>
      </w:r>
      <w:r w:rsidR="00206043">
        <w:t>c</w:t>
      </w:r>
      <w:r w:rsidR="00EC4029">
        <w:t xml:space="preserve"> mu </w:t>
      </w:r>
      <w:r w:rsidR="00DF64D2">
        <w:t xml:space="preserve">odpowiedni </w:t>
      </w:r>
      <w:r w:rsidR="00EC4029">
        <w:t xml:space="preserve">termin </w:t>
      </w:r>
      <w:r w:rsidR="00206043">
        <w:t>na weryfikację konfliktu interesów i przedstawienie oferty</w:t>
      </w:r>
      <w:r w:rsidR="006006BD">
        <w:t>. Jeżeli zapoznanie się z aktami sprawy jest</w:t>
      </w:r>
      <w:r w:rsidR="00F04FE2">
        <w:t xml:space="preserve"> niezbędne do sporządzenia oferty</w:t>
      </w:r>
      <w:r w:rsidR="006006BD">
        <w:t xml:space="preserve"> przez kandydata na biegłego,</w:t>
      </w:r>
      <w:r w:rsidR="00F04FE2">
        <w:t xml:space="preserve"> </w:t>
      </w:r>
      <w:r w:rsidR="006A6199">
        <w:t xml:space="preserve">sąd </w:t>
      </w:r>
      <w:r w:rsidR="006006BD">
        <w:t>przesyła mu dodatkowo</w:t>
      </w:r>
      <w:r w:rsidR="00F04FE2">
        <w:t xml:space="preserve"> oświadczeni</w:t>
      </w:r>
      <w:r w:rsidR="006006BD">
        <w:t>e</w:t>
      </w:r>
      <w:r w:rsidR="00F04FE2">
        <w:t xml:space="preserve"> o przyjęciu zobowiązania do zachowania w tajemnicy </w:t>
      </w:r>
      <w:r w:rsidR="006006BD">
        <w:t>wszelkich informacji</w:t>
      </w:r>
      <w:r w:rsidR="00F04FE2">
        <w:t xml:space="preserve"> wynikających z akt postępowania</w:t>
      </w:r>
      <w:r w:rsidR="006006BD">
        <w:t>; d</w:t>
      </w:r>
      <w:r w:rsidR="00F04FE2">
        <w:t>opiero</w:t>
      </w:r>
      <w:r w:rsidR="006006BD">
        <w:t xml:space="preserve"> po jego podpisaniu </w:t>
      </w:r>
      <w:r w:rsidR="00F04FE2">
        <w:t xml:space="preserve">sąd przesyła </w:t>
      </w:r>
      <w:r w:rsidR="00DF64D2">
        <w:t xml:space="preserve">kandydatowi na biegłego </w:t>
      </w:r>
      <w:r w:rsidR="00F04FE2">
        <w:t xml:space="preserve">akta </w:t>
      </w:r>
      <w:r w:rsidR="00DF64D2">
        <w:t xml:space="preserve">sprawy </w:t>
      </w:r>
      <w:r w:rsidR="00F04FE2">
        <w:t>w zdigitalizowanej formie</w:t>
      </w:r>
      <w:r w:rsidR="00522EAE">
        <w:t xml:space="preserve"> lub umożliwia kandydatowi na biegłego zapoznanie się z aktami w siedzibie sądu.</w:t>
      </w:r>
    </w:p>
    <w:p w14:paraId="610A64EC" w14:textId="1C37D9A3" w:rsidR="00522EAE" w:rsidRDefault="00080A92" w:rsidP="002E2AEB">
      <w:pPr>
        <w:pStyle w:val="MW1"/>
        <w:numPr>
          <w:ilvl w:val="0"/>
          <w:numId w:val="7"/>
        </w:numPr>
      </w:pPr>
      <w:r w:rsidRPr="00747E7E">
        <w:rPr>
          <w:b/>
          <w:bCs/>
        </w:rPr>
        <w:t>[Oferta na sporządzenie opinii biegłego]</w:t>
      </w:r>
      <w:r>
        <w:t xml:space="preserve"> </w:t>
      </w:r>
      <w:r w:rsidR="00DF64D2">
        <w:t xml:space="preserve">Sąd, zwracając się do kandydata na biegłego o przygotowanie oferty </w:t>
      </w:r>
      <w:r>
        <w:t xml:space="preserve">na sporządzenie opinii, </w:t>
      </w:r>
      <w:r w:rsidR="00DF64D2">
        <w:t xml:space="preserve">zobowiązuje go do </w:t>
      </w:r>
      <w:r>
        <w:t>uwzględni</w:t>
      </w:r>
      <w:r w:rsidR="00DF64D2">
        <w:t>enia</w:t>
      </w:r>
      <w:r>
        <w:t xml:space="preserve"> w kwocie wynagrodzenia ryczałtowego</w:t>
      </w:r>
      <w:r w:rsidR="00C9433A">
        <w:t xml:space="preserve"> następując</w:t>
      </w:r>
      <w:r w:rsidR="006006BD">
        <w:t>ych</w:t>
      </w:r>
      <w:r w:rsidR="00C9433A">
        <w:t xml:space="preserve"> czynności</w:t>
      </w:r>
      <w:r>
        <w:t>:</w:t>
      </w:r>
      <w:r>
        <w:t xml:space="preserve"> (i) przygotowanie pisemnej</w:t>
      </w:r>
      <w:r w:rsidR="009E6EEA">
        <w:t xml:space="preserve"> opinii odpowiadającej </w:t>
      </w:r>
      <w:r w:rsidR="006006BD">
        <w:t>zakresowi</w:t>
      </w:r>
      <w:r w:rsidR="009E6EEA">
        <w:t xml:space="preserve"> postanowienia dowodowego, (ii) złożenie wyjaśnień na rozprawie, (iii) wzięcie udziału w </w:t>
      </w:r>
      <w:r w:rsidR="00DF64D2">
        <w:t>oględzinach</w:t>
      </w:r>
      <w:r w:rsidR="00974995">
        <w:t>/innym środku dowodowym w postaci eksperymentu procesowego</w:t>
      </w:r>
      <w:r w:rsidR="006006BD">
        <w:t xml:space="preserve"> (w razie potrzeby)</w:t>
      </w:r>
      <w:r w:rsidR="00DF64D2">
        <w:t>,</w:t>
      </w:r>
      <w:r w:rsidR="009E6EEA">
        <w:t xml:space="preserve"> (iv) przygotowanie – jeśli sąd tak zarządzi – opinii uzupełniającej odpowiadającej na zarzuty stron. </w:t>
      </w:r>
    </w:p>
    <w:p w14:paraId="18BB034A" w14:textId="3E36CE8B" w:rsidR="000D733B" w:rsidRPr="00747E7E" w:rsidRDefault="00080A92" w:rsidP="002E2AEB">
      <w:pPr>
        <w:pStyle w:val="MW1"/>
        <w:numPr>
          <w:ilvl w:val="0"/>
          <w:numId w:val="7"/>
        </w:numPr>
      </w:pPr>
      <w:r>
        <w:t>[</w:t>
      </w:r>
      <w:r w:rsidRPr="00747E7E">
        <w:rPr>
          <w:b/>
        </w:rPr>
        <w:t xml:space="preserve">Komunikacja </w:t>
      </w:r>
      <w:r w:rsidR="00BE71F7" w:rsidRPr="00747E7E">
        <w:rPr>
          <w:b/>
        </w:rPr>
        <w:t xml:space="preserve">z </w:t>
      </w:r>
      <w:r w:rsidRPr="00747E7E">
        <w:rPr>
          <w:b/>
        </w:rPr>
        <w:t>biegłym</w:t>
      </w:r>
      <w:r>
        <w:t>] Wszelka komunikacja pomiędzy biegłym a stroną, w</w:t>
      </w:r>
      <w:r w:rsidR="00BE71F7">
        <w:t> </w:t>
      </w:r>
      <w:r>
        <w:t>tym także komunikacja dotycząca kwestii organizacyjnych (np. przeprowadzenie oględzin nieruchomości</w:t>
      </w:r>
      <w:r>
        <w:t>) lub technicznych (np. prośba o przekazanie określonych dokumentów) powinna się odbywać</w:t>
      </w:r>
      <w:r w:rsidR="00BE71F7">
        <w:t xml:space="preserve"> w formie dokumentowej, do wiadomości drugiej strony oraz sądu. </w:t>
      </w:r>
      <w:bookmarkStart w:id="1" w:name="_GoBack"/>
      <w:bookmarkEnd w:id="1"/>
    </w:p>
    <w:p w14:paraId="25A5128A" w14:textId="3843B672" w:rsidR="003F1F12" w:rsidRDefault="00080A92" w:rsidP="002E2AEB">
      <w:pPr>
        <w:pStyle w:val="MW1"/>
        <w:numPr>
          <w:ilvl w:val="0"/>
          <w:numId w:val="7"/>
        </w:numPr>
      </w:pPr>
      <w:r>
        <w:rPr>
          <w:b/>
          <w:bCs/>
        </w:rPr>
        <w:t xml:space="preserve">[Dokumenty przekazywane biegłemu] </w:t>
      </w:r>
      <w:r>
        <w:t xml:space="preserve">Wszelkie materiały potrzebne biegłemu do sporządzenia opinii powinny </w:t>
      </w:r>
      <w:r>
        <w:t>być mu przekazywane przez sąd. Strony nie mogą same przekazywać biegłemu dokumentów ani innych materiałów, gdyż podstawy sporządzenia opinii powinny być znane sądowi, jak i obu stronom, oraz znajdować się w aktach sprawy.</w:t>
      </w:r>
    </w:p>
    <w:p w14:paraId="4D681A65" w14:textId="3E976CF6" w:rsidR="00053060" w:rsidRDefault="00080A92" w:rsidP="00FE2CF1">
      <w:pPr>
        <w:pStyle w:val="MW1"/>
        <w:numPr>
          <w:ilvl w:val="0"/>
          <w:numId w:val="0"/>
        </w:numPr>
        <w:ind w:left="360"/>
        <w:rPr>
          <w:b/>
          <w:bCs/>
        </w:rPr>
      </w:pPr>
      <w:r>
        <w:t>[</w:t>
      </w:r>
      <w:r>
        <w:rPr>
          <w:b/>
          <w:bCs/>
        </w:rPr>
        <w:t>Dowód z przesł</w:t>
      </w:r>
      <w:r w:rsidR="00FE2CF1">
        <w:rPr>
          <w:b/>
          <w:bCs/>
        </w:rPr>
        <w:t>u</w:t>
      </w:r>
      <w:r>
        <w:rPr>
          <w:b/>
          <w:bCs/>
        </w:rPr>
        <w:t>chania stron]</w:t>
      </w:r>
    </w:p>
    <w:p w14:paraId="71514649" w14:textId="461C167C" w:rsidR="00053060" w:rsidRDefault="00080A92" w:rsidP="00FE2CF1">
      <w:pPr>
        <w:pStyle w:val="MW1"/>
        <w:numPr>
          <w:ilvl w:val="0"/>
          <w:numId w:val="7"/>
        </w:numPr>
      </w:pPr>
      <w:r w:rsidRPr="00957478">
        <w:rPr>
          <w:b/>
          <w:bCs/>
        </w:rPr>
        <w:t>[</w:t>
      </w:r>
      <w:r>
        <w:rPr>
          <w:b/>
          <w:bCs/>
        </w:rPr>
        <w:t>Dop</w:t>
      </w:r>
      <w:r>
        <w:rPr>
          <w:b/>
          <w:bCs/>
        </w:rPr>
        <w:t>uszczenie dowodu w planie rozprawy</w:t>
      </w:r>
      <w:r w:rsidRPr="00957478">
        <w:rPr>
          <w:b/>
          <w:bCs/>
        </w:rPr>
        <w:t>]</w:t>
      </w:r>
      <w:r w:rsidRPr="00957478">
        <w:t xml:space="preserve"> </w:t>
      </w:r>
      <w:r>
        <w:t>Z uwagi na subsydiarny charakter dowodu z przesłuchania stron (art. 299 k.p.c.), dopuszczenie go w planie rozprawy jest możliwe tylko wtedy, jeśli z uwagi na rodzaj faktów istotnych dla rozstrzygnięcia sprawy, których wy</w:t>
      </w:r>
      <w:r>
        <w:t>kazaniu ma służyć ten dowód, wiadome jest, że nie ma możliwości ustalenia ich za pomocą innych środków dowodowych (np. w razie konieczności ustalenia przebiegu negocjacji między stronami, w których nie uczestniczyły osoby trzecie). W pozostałych przypadkac</w:t>
      </w:r>
      <w:r>
        <w:t>h, sąd powinien rozważyć konieczność dopuszczenia dowodu z przesłuchania stron dopiero po przeprowadzeniu postępowania dowodowego w pozostałym zakresie.</w:t>
      </w:r>
    </w:p>
    <w:p w14:paraId="241B874E" w14:textId="58A5F267" w:rsidR="00457510" w:rsidRPr="00742447" w:rsidRDefault="00080A92" w:rsidP="00FE2CF1">
      <w:pPr>
        <w:pStyle w:val="MW1"/>
        <w:numPr>
          <w:ilvl w:val="0"/>
          <w:numId w:val="0"/>
        </w:numPr>
        <w:ind w:left="360"/>
        <w:rPr>
          <w:b/>
          <w:bCs/>
        </w:rPr>
      </w:pPr>
      <w:r w:rsidRPr="003C1F89">
        <w:rPr>
          <w:b/>
          <w:bCs/>
        </w:rPr>
        <w:t>[</w:t>
      </w:r>
      <w:r w:rsidR="00BA752F" w:rsidRPr="003C1F89">
        <w:rPr>
          <w:b/>
          <w:bCs/>
        </w:rPr>
        <w:t>Harmonogram</w:t>
      </w:r>
      <w:r w:rsidRPr="003C1F89">
        <w:rPr>
          <w:b/>
          <w:bCs/>
        </w:rPr>
        <w:t>]</w:t>
      </w:r>
    </w:p>
    <w:p w14:paraId="7C48F673" w14:textId="3E7081DC" w:rsidR="00583AFA" w:rsidRPr="00957478" w:rsidRDefault="00080A92" w:rsidP="00681859">
      <w:pPr>
        <w:pStyle w:val="MW1"/>
        <w:numPr>
          <w:ilvl w:val="0"/>
          <w:numId w:val="7"/>
        </w:numPr>
      </w:pPr>
      <w:r w:rsidRPr="00957478">
        <w:rPr>
          <w:b/>
          <w:bCs/>
        </w:rPr>
        <w:t>[Terminy posiedzeń w kolejnych dniach]</w:t>
      </w:r>
      <w:r w:rsidRPr="00957478">
        <w:t xml:space="preserve"> W razie ustalenia w ramach planu rozprawy terminów posiedzeń oraz konieczności rozłożenia rozprawy na kilka dni, </w:t>
      </w:r>
      <w:r w:rsidR="00C07CF7" w:rsidRPr="00957478">
        <w:t>należ</w:t>
      </w:r>
      <w:r w:rsidR="00C07CF7">
        <w:t>y</w:t>
      </w:r>
      <w:r w:rsidR="00C07CF7" w:rsidRPr="00957478">
        <w:t xml:space="preserve"> </w:t>
      </w:r>
      <w:r w:rsidR="00C07CF7">
        <w:t>podjąć</w:t>
      </w:r>
      <w:r w:rsidRPr="00957478">
        <w:rPr>
          <w:lang w:eastAsia="pl-PL"/>
        </w:rPr>
        <w:t xml:space="preserve"> </w:t>
      </w:r>
      <w:r w:rsidR="00C07CF7" w:rsidRPr="00957478">
        <w:rPr>
          <w:lang w:eastAsia="pl-PL"/>
        </w:rPr>
        <w:t>prób</w:t>
      </w:r>
      <w:r w:rsidR="00C07CF7">
        <w:rPr>
          <w:lang w:eastAsia="pl-PL"/>
        </w:rPr>
        <w:t>ę</w:t>
      </w:r>
      <w:r w:rsidR="00C07CF7" w:rsidRPr="00957478">
        <w:rPr>
          <w:lang w:eastAsia="pl-PL"/>
        </w:rPr>
        <w:t xml:space="preserve"> </w:t>
      </w:r>
      <w:r w:rsidR="00C07CF7">
        <w:rPr>
          <w:lang w:eastAsia="pl-PL"/>
        </w:rPr>
        <w:t>zorganizowania jej w n</w:t>
      </w:r>
      <w:r w:rsidRPr="00957478">
        <w:rPr>
          <w:lang w:eastAsia="pl-PL"/>
        </w:rPr>
        <w:t xml:space="preserve">astępujących po sobie dniach. Zaplanowanie </w:t>
      </w:r>
      <w:r w:rsidR="00C07CF7">
        <w:rPr>
          <w:lang w:eastAsia="pl-PL"/>
        </w:rPr>
        <w:t>kilkudniowej</w:t>
      </w:r>
      <w:r w:rsidRPr="00957478">
        <w:rPr>
          <w:lang w:eastAsia="pl-PL"/>
        </w:rPr>
        <w:t xml:space="preserve"> rozprawy nawet ze znacznym wyprzedzeniem cza</w:t>
      </w:r>
      <w:r w:rsidRPr="00957478">
        <w:rPr>
          <w:lang w:eastAsia="pl-PL"/>
        </w:rPr>
        <w:t xml:space="preserve">sowym jest zdecydowanie </w:t>
      </w:r>
      <w:r w:rsidR="00C07CF7">
        <w:rPr>
          <w:lang w:eastAsia="pl-PL"/>
        </w:rPr>
        <w:t>bardziej efektywne</w:t>
      </w:r>
      <w:r w:rsidR="00C07CF7" w:rsidRPr="00957478">
        <w:rPr>
          <w:lang w:eastAsia="pl-PL"/>
        </w:rPr>
        <w:t xml:space="preserve"> </w:t>
      </w:r>
      <w:r w:rsidRPr="00957478">
        <w:rPr>
          <w:lang w:eastAsia="pl-PL"/>
        </w:rPr>
        <w:t xml:space="preserve">czasowo oraz kosztowo. </w:t>
      </w:r>
      <w:r w:rsidR="00C07CF7">
        <w:rPr>
          <w:lang w:eastAsia="pl-PL"/>
        </w:rPr>
        <w:t>K</w:t>
      </w:r>
      <w:r w:rsidRPr="00957478">
        <w:rPr>
          <w:lang w:eastAsia="pl-PL"/>
        </w:rPr>
        <w:t>ilkukrotnie</w:t>
      </w:r>
      <w:r w:rsidR="00C07CF7">
        <w:rPr>
          <w:lang w:eastAsia="pl-PL"/>
        </w:rPr>
        <w:t xml:space="preserve"> przygotowywanie się do posiedzeń odbywających się w </w:t>
      </w:r>
      <w:r w:rsidRPr="00957478">
        <w:rPr>
          <w:lang w:eastAsia="pl-PL"/>
        </w:rPr>
        <w:t>kilkumiesięcznych odstępach jest na pewno znacznie bardziej czasochłonne zarówno dla sądu, jak i pełnomocników</w:t>
      </w:r>
      <w:r w:rsidR="00A9591D" w:rsidRPr="00957478">
        <w:rPr>
          <w:lang w:eastAsia="pl-PL"/>
        </w:rPr>
        <w:t>.</w:t>
      </w:r>
    </w:p>
    <w:sectPr w:rsidR="00583AFA" w:rsidRPr="0095747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6C70" w14:textId="77777777" w:rsidR="00000000" w:rsidRDefault="00080A92">
      <w:pPr>
        <w:spacing w:after="0" w:line="240" w:lineRule="auto"/>
      </w:pPr>
      <w:r>
        <w:separator/>
      </w:r>
    </w:p>
  </w:endnote>
  <w:endnote w:type="continuationSeparator" w:id="0">
    <w:p w14:paraId="42BA9940" w14:textId="77777777" w:rsidR="00000000" w:rsidRDefault="0008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Nagłówki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9080331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E64467" w14:textId="1F7A7B6B" w:rsidR="00FE2CF1" w:rsidRDefault="00080A92" w:rsidP="0047012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497A50" w14:textId="77777777" w:rsidR="00FE2CF1" w:rsidRDefault="00FE2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Times New Roman" w:hAnsi="Times New Roman" w:cs="Times New Roman"/>
        <w:sz w:val="16"/>
        <w:szCs w:val="16"/>
      </w:rPr>
      <w:id w:val="18863703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4C278E" w14:textId="684E9A2D" w:rsidR="00FE2CF1" w:rsidRPr="00FE2CF1" w:rsidRDefault="00080A92" w:rsidP="00470124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16"/>
            <w:szCs w:val="16"/>
          </w:rPr>
        </w:pPr>
        <w:r w:rsidRPr="00FE2CF1">
          <w:rPr>
            <w:rStyle w:val="Numerstrony"/>
            <w:rFonts w:ascii="Times New Roman" w:hAnsi="Times New Roman" w:cs="Times New Roman"/>
            <w:sz w:val="16"/>
            <w:szCs w:val="16"/>
          </w:rPr>
          <w:fldChar w:fldCharType="begin"/>
        </w:r>
        <w:r w:rsidRPr="00FE2CF1">
          <w:rPr>
            <w:rStyle w:val="Numerstrony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FE2CF1">
          <w:rPr>
            <w:rStyle w:val="Numerstrony"/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Style w:val="Numerstrony"/>
            <w:rFonts w:ascii="Times New Roman" w:hAnsi="Times New Roman" w:cs="Times New Roman"/>
            <w:noProof/>
            <w:sz w:val="16"/>
            <w:szCs w:val="16"/>
          </w:rPr>
          <w:t>3</w:t>
        </w:r>
        <w:r w:rsidRPr="00FE2CF1">
          <w:rPr>
            <w:rStyle w:val="Numerstrony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3ED6BC5" w14:textId="77777777" w:rsidR="00FE2CF1" w:rsidRDefault="00FE2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788B" w14:textId="77777777" w:rsidR="00000000" w:rsidRDefault="00080A92">
      <w:pPr>
        <w:spacing w:after="0" w:line="240" w:lineRule="auto"/>
      </w:pPr>
      <w:r>
        <w:separator/>
      </w:r>
    </w:p>
  </w:footnote>
  <w:footnote w:type="continuationSeparator" w:id="0">
    <w:p w14:paraId="6F801F8E" w14:textId="77777777" w:rsidR="00000000" w:rsidRDefault="0008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9F"/>
    <w:multiLevelType w:val="multilevel"/>
    <w:tmpl w:val="ED268E12"/>
    <w:lvl w:ilvl="0">
      <w:start w:val="1"/>
      <w:numFmt w:val="decimal"/>
      <w:pStyle w:val="MW1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pStyle w:val="MW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MW3"/>
      <w:lvlText w:val="%1.%2.%3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EBA7D2A"/>
    <w:multiLevelType w:val="hybridMultilevel"/>
    <w:tmpl w:val="4E80EDBE"/>
    <w:lvl w:ilvl="0" w:tplc="1DCED9D4">
      <w:start w:val="1"/>
      <w:numFmt w:val="decimal"/>
      <w:pStyle w:val="Nagwek2"/>
      <w:lvlText w:val="%1."/>
      <w:lvlJc w:val="left"/>
      <w:pPr>
        <w:ind w:left="720" w:hanging="360"/>
      </w:pPr>
    </w:lvl>
    <w:lvl w:ilvl="1" w:tplc="48E005D2">
      <w:start w:val="1"/>
      <w:numFmt w:val="lowerLetter"/>
      <w:lvlText w:val="%2."/>
      <w:lvlJc w:val="left"/>
      <w:pPr>
        <w:ind w:left="1440" w:hanging="360"/>
      </w:pPr>
    </w:lvl>
    <w:lvl w:ilvl="2" w:tplc="9E24539C" w:tentative="1">
      <w:start w:val="1"/>
      <w:numFmt w:val="lowerRoman"/>
      <w:lvlText w:val="%3."/>
      <w:lvlJc w:val="right"/>
      <w:pPr>
        <w:ind w:left="2160" w:hanging="180"/>
      </w:pPr>
    </w:lvl>
    <w:lvl w:ilvl="3" w:tplc="D9D8D0B8" w:tentative="1">
      <w:start w:val="1"/>
      <w:numFmt w:val="decimal"/>
      <w:lvlText w:val="%4."/>
      <w:lvlJc w:val="left"/>
      <w:pPr>
        <w:ind w:left="2880" w:hanging="360"/>
      </w:pPr>
    </w:lvl>
    <w:lvl w:ilvl="4" w:tplc="BC00DDB0" w:tentative="1">
      <w:start w:val="1"/>
      <w:numFmt w:val="lowerLetter"/>
      <w:lvlText w:val="%5."/>
      <w:lvlJc w:val="left"/>
      <w:pPr>
        <w:ind w:left="3600" w:hanging="360"/>
      </w:pPr>
    </w:lvl>
    <w:lvl w:ilvl="5" w:tplc="5E3A361C" w:tentative="1">
      <w:start w:val="1"/>
      <w:numFmt w:val="lowerRoman"/>
      <w:lvlText w:val="%6."/>
      <w:lvlJc w:val="right"/>
      <w:pPr>
        <w:ind w:left="4320" w:hanging="180"/>
      </w:pPr>
    </w:lvl>
    <w:lvl w:ilvl="6" w:tplc="1892E138" w:tentative="1">
      <w:start w:val="1"/>
      <w:numFmt w:val="decimal"/>
      <w:lvlText w:val="%7."/>
      <w:lvlJc w:val="left"/>
      <w:pPr>
        <w:ind w:left="5040" w:hanging="360"/>
      </w:pPr>
    </w:lvl>
    <w:lvl w:ilvl="7" w:tplc="E188CBAA" w:tentative="1">
      <w:start w:val="1"/>
      <w:numFmt w:val="lowerLetter"/>
      <w:lvlText w:val="%8."/>
      <w:lvlJc w:val="left"/>
      <w:pPr>
        <w:ind w:left="5760" w:hanging="360"/>
      </w:pPr>
    </w:lvl>
    <w:lvl w:ilvl="8" w:tplc="E8E2C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E7C"/>
    <w:multiLevelType w:val="hybridMultilevel"/>
    <w:tmpl w:val="2B7E02B2"/>
    <w:lvl w:ilvl="0" w:tplc="D228D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503304" w:tentative="1">
      <w:start w:val="1"/>
      <w:numFmt w:val="lowerLetter"/>
      <w:lvlText w:val="%2."/>
      <w:lvlJc w:val="left"/>
      <w:pPr>
        <w:ind w:left="1440" w:hanging="360"/>
      </w:pPr>
    </w:lvl>
    <w:lvl w:ilvl="2" w:tplc="7708EF80" w:tentative="1">
      <w:start w:val="1"/>
      <w:numFmt w:val="lowerRoman"/>
      <w:lvlText w:val="%3."/>
      <w:lvlJc w:val="right"/>
      <w:pPr>
        <w:ind w:left="2160" w:hanging="180"/>
      </w:pPr>
    </w:lvl>
    <w:lvl w:ilvl="3" w:tplc="8A3A3FBE" w:tentative="1">
      <w:start w:val="1"/>
      <w:numFmt w:val="decimal"/>
      <w:lvlText w:val="%4."/>
      <w:lvlJc w:val="left"/>
      <w:pPr>
        <w:ind w:left="2880" w:hanging="360"/>
      </w:pPr>
    </w:lvl>
    <w:lvl w:ilvl="4" w:tplc="E918ECF4" w:tentative="1">
      <w:start w:val="1"/>
      <w:numFmt w:val="lowerLetter"/>
      <w:lvlText w:val="%5."/>
      <w:lvlJc w:val="left"/>
      <w:pPr>
        <w:ind w:left="3600" w:hanging="360"/>
      </w:pPr>
    </w:lvl>
    <w:lvl w:ilvl="5" w:tplc="07B05F90" w:tentative="1">
      <w:start w:val="1"/>
      <w:numFmt w:val="lowerRoman"/>
      <w:lvlText w:val="%6."/>
      <w:lvlJc w:val="right"/>
      <w:pPr>
        <w:ind w:left="4320" w:hanging="180"/>
      </w:pPr>
    </w:lvl>
    <w:lvl w:ilvl="6" w:tplc="A908271A" w:tentative="1">
      <w:start w:val="1"/>
      <w:numFmt w:val="decimal"/>
      <w:lvlText w:val="%7."/>
      <w:lvlJc w:val="left"/>
      <w:pPr>
        <w:ind w:left="5040" w:hanging="360"/>
      </w:pPr>
    </w:lvl>
    <w:lvl w:ilvl="7" w:tplc="58B2FD96" w:tentative="1">
      <w:start w:val="1"/>
      <w:numFmt w:val="lowerLetter"/>
      <w:lvlText w:val="%8."/>
      <w:lvlJc w:val="left"/>
      <w:pPr>
        <w:ind w:left="5760" w:hanging="360"/>
      </w:pPr>
    </w:lvl>
    <w:lvl w:ilvl="8" w:tplc="0A2A4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3941"/>
    <w:multiLevelType w:val="hybridMultilevel"/>
    <w:tmpl w:val="548E4902"/>
    <w:lvl w:ilvl="0" w:tplc="CBBA2A50">
      <w:start w:val="1"/>
      <w:numFmt w:val="decimal"/>
      <w:lvlText w:val="%1."/>
      <w:lvlJc w:val="left"/>
      <w:pPr>
        <w:ind w:left="1151" w:hanging="360"/>
      </w:pPr>
    </w:lvl>
    <w:lvl w:ilvl="1" w:tplc="9A065516" w:tentative="1">
      <w:start w:val="1"/>
      <w:numFmt w:val="lowerLetter"/>
      <w:lvlText w:val="%2."/>
      <w:lvlJc w:val="left"/>
      <w:pPr>
        <w:ind w:left="1871" w:hanging="360"/>
      </w:pPr>
    </w:lvl>
    <w:lvl w:ilvl="2" w:tplc="A8101FDE" w:tentative="1">
      <w:start w:val="1"/>
      <w:numFmt w:val="lowerRoman"/>
      <w:lvlText w:val="%3."/>
      <w:lvlJc w:val="right"/>
      <w:pPr>
        <w:ind w:left="2591" w:hanging="180"/>
      </w:pPr>
    </w:lvl>
    <w:lvl w:ilvl="3" w:tplc="ECC04AAC" w:tentative="1">
      <w:start w:val="1"/>
      <w:numFmt w:val="decimal"/>
      <w:lvlText w:val="%4."/>
      <w:lvlJc w:val="left"/>
      <w:pPr>
        <w:ind w:left="3311" w:hanging="360"/>
      </w:pPr>
    </w:lvl>
    <w:lvl w:ilvl="4" w:tplc="F9386670" w:tentative="1">
      <w:start w:val="1"/>
      <w:numFmt w:val="lowerLetter"/>
      <w:lvlText w:val="%5."/>
      <w:lvlJc w:val="left"/>
      <w:pPr>
        <w:ind w:left="4031" w:hanging="360"/>
      </w:pPr>
    </w:lvl>
    <w:lvl w:ilvl="5" w:tplc="58924E72" w:tentative="1">
      <w:start w:val="1"/>
      <w:numFmt w:val="lowerRoman"/>
      <w:lvlText w:val="%6."/>
      <w:lvlJc w:val="right"/>
      <w:pPr>
        <w:ind w:left="4751" w:hanging="180"/>
      </w:pPr>
    </w:lvl>
    <w:lvl w:ilvl="6" w:tplc="F0D84800" w:tentative="1">
      <w:start w:val="1"/>
      <w:numFmt w:val="decimal"/>
      <w:lvlText w:val="%7."/>
      <w:lvlJc w:val="left"/>
      <w:pPr>
        <w:ind w:left="5471" w:hanging="360"/>
      </w:pPr>
    </w:lvl>
    <w:lvl w:ilvl="7" w:tplc="8FF2DC0A" w:tentative="1">
      <w:start w:val="1"/>
      <w:numFmt w:val="lowerLetter"/>
      <w:lvlText w:val="%8."/>
      <w:lvlJc w:val="left"/>
      <w:pPr>
        <w:ind w:left="6191" w:hanging="360"/>
      </w:pPr>
    </w:lvl>
    <w:lvl w:ilvl="8" w:tplc="2926F8CC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D"/>
    <w:rsid w:val="00015332"/>
    <w:rsid w:val="0001771E"/>
    <w:rsid w:val="00031DBE"/>
    <w:rsid w:val="0005045B"/>
    <w:rsid w:val="00053060"/>
    <w:rsid w:val="0007399B"/>
    <w:rsid w:val="0008064A"/>
    <w:rsid w:val="00080A92"/>
    <w:rsid w:val="00083DC2"/>
    <w:rsid w:val="00087BD7"/>
    <w:rsid w:val="000947B7"/>
    <w:rsid w:val="000B56B1"/>
    <w:rsid w:val="000C2558"/>
    <w:rsid w:val="000D733B"/>
    <w:rsid w:val="000E0B98"/>
    <w:rsid w:val="00103799"/>
    <w:rsid w:val="00112041"/>
    <w:rsid w:val="001363B8"/>
    <w:rsid w:val="00137342"/>
    <w:rsid w:val="0015517B"/>
    <w:rsid w:val="00157F7F"/>
    <w:rsid w:val="001663CE"/>
    <w:rsid w:val="00171D86"/>
    <w:rsid w:val="001871D9"/>
    <w:rsid w:val="001B1B6D"/>
    <w:rsid w:val="001C0E24"/>
    <w:rsid w:val="001C5EBB"/>
    <w:rsid w:val="001C6DAE"/>
    <w:rsid w:val="001C75CE"/>
    <w:rsid w:val="001E1BCC"/>
    <w:rsid w:val="001E4618"/>
    <w:rsid w:val="001E76F4"/>
    <w:rsid w:val="001F3E12"/>
    <w:rsid w:val="00206043"/>
    <w:rsid w:val="00241CC9"/>
    <w:rsid w:val="0026303E"/>
    <w:rsid w:val="00266715"/>
    <w:rsid w:val="002844AA"/>
    <w:rsid w:val="002B5758"/>
    <w:rsid w:val="002E2AEB"/>
    <w:rsid w:val="002F1AA3"/>
    <w:rsid w:val="0031124C"/>
    <w:rsid w:val="00322692"/>
    <w:rsid w:val="00336DC8"/>
    <w:rsid w:val="00354CD1"/>
    <w:rsid w:val="003658AC"/>
    <w:rsid w:val="003948C3"/>
    <w:rsid w:val="003A2247"/>
    <w:rsid w:val="003A5ED7"/>
    <w:rsid w:val="003C1F89"/>
    <w:rsid w:val="003C1FBC"/>
    <w:rsid w:val="003D031A"/>
    <w:rsid w:val="003D060D"/>
    <w:rsid w:val="003D0F37"/>
    <w:rsid w:val="003E783B"/>
    <w:rsid w:val="003F1F12"/>
    <w:rsid w:val="0041544D"/>
    <w:rsid w:val="0042114D"/>
    <w:rsid w:val="0042137E"/>
    <w:rsid w:val="00452A24"/>
    <w:rsid w:val="00457510"/>
    <w:rsid w:val="004609DE"/>
    <w:rsid w:val="00470124"/>
    <w:rsid w:val="00476D55"/>
    <w:rsid w:val="0048617F"/>
    <w:rsid w:val="004975A0"/>
    <w:rsid w:val="004A10B4"/>
    <w:rsid w:val="004D050B"/>
    <w:rsid w:val="004F36F8"/>
    <w:rsid w:val="004F62ED"/>
    <w:rsid w:val="00512CBA"/>
    <w:rsid w:val="0052036B"/>
    <w:rsid w:val="00522EAE"/>
    <w:rsid w:val="00532BA9"/>
    <w:rsid w:val="0057075C"/>
    <w:rsid w:val="00583AFA"/>
    <w:rsid w:val="005B0255"/>
    <w:rsid w:val="005B272A"/>
    <w:rsid w:val="005E5962"/>
    <w:rsid w:val="006006BD"/>
    <w:rsid w:val="0060097D"/>
    <w:rsid w:val="006024C9"/>
    <w:rsid w:val="00622A95"/>
    <w:rsid w:val="00623B56"/>
    <w:rsid w:val="00652920"/>
    <w:rsid w:val="00673F8C"/>
    <w:rsid w:val="00681859"/>
    <w:rsid w:val="006A6199"/>
    <w:rsid w:val="006B1E03"/>
    <w:rsid w:val="006B290A"/>
    <w:rsid w:val="006F141A"/>
    <w:rsid w:val="006F4C83"/>
    <w:rsid w:val="0071648F"/>
    <w:rsid w:val="00727EF9"/>
    <w:rsid w:val="007344A4"/>
    <w:rsid w:val="00742447"/>
    <w:rsid w:val="00744476"/>
    <w:rsid w:val="00747E7E"/>
    <w:rsid w:val="0078601D"/>
    <w:rsid w:val="007931E1"/>
    <w:rsid w:val="00795893"/>
    <w:rsid w:val="007A3C9F"/>
    <w:rsid w:val="007A7542"/>
    <w:rsid w:val="007B1737"/>
    <w:rsid w:val="007B32E2"/>
    <w:rsid w:val="007C5942"/>
    <w:rsid w:val="007C59C4"/>
    <w:rsid w:val="007D3857"/>
    <w:rsid w:val="007D54BF"/>
    <w:rsid w:val="007F342C"/>
    <w:rsid w:val="0080464E"/>
    <w:rsid w:val="00810F95"/>
    <w:rsid w:val="00820522"/>
    <w:rsid w:val="00823393"/>
    <w:rsid w:val="0089256D"/>
    <w:rsid w:val="008A3A04"/>
    <w:rsid w:val="008B6129"/>
    <w:rsid w:val="008F5003"/>
    <w:rsid w:val="00906C81"/>
    <w:rsid w:val="009122BF"/>
    <w:rsid w:val="00925501"/>
    <w:rsid w:val="00927C3A"/>
    <w:rsid w:val="00955206"/>
    <w:rsid w:val="00957478"/>
    <w:rsid w:val="0096381F"/>
    <w:rsid w:val="00974995"/>
    <w:rsid w:val="009859B4"/>
    <w:rsid w:val="00986D10"/>
    <w:rsid w:val="009914E3"/>
    <w:rsid w:val="009A3815"/>
    <w:rsid w:val="009B708B"/>
    <w:rsid w:val="009C27AB"/>
    <w:rsid w:val="009D5311"/>
    <w:rsid w:val="009E6655"/>
    <w:rsid w:val="009E6EEA"/>
    <w:rsid w:val="00A02AE5"/>
    <w:rsid w:val="00A0520E"/>
    <w:rsid w:val="00A07A21"/>
    <w:rsid w:val="00A14618"/>
    <w:rsid w:val="00A4247B"/>
    <w:rsid w:val="00A62776"/>
    <w:rsid w:val="00A67D26"/>
    <w:rsid w:val="00A67DAC"/>
    <w:rsid w:val="00A9591D"/>
    <w:rsid w:val="00AA6640"/>
    <w:rsid w:val="00AA71EF"/>
    <w:rsid w:val="00AB2138"/>
    <w:rsid w:val="00AD39BE"/>
    <w:rsid w:val="00AE6E24"/>
    <w:rsid w:val="00B13418"/>
    <w:rsid w:val="00B16689"/>
    <w:rsid w:val="00B2687A"/>
    <w:rsid w:val="00B30776"/>
    <w:rsid w:val="00B429AA"/>
    <w:rsid w:val="00B45F62"/>
    <w:rsid w:val="00B80E6B"/>
    <w:rsid w:val="00BA5FDE"/>
    <w:rsid w:val="00BA752F"/>
    <w:rsid w:val="00BB71C6"/>
    <w:rsid w:val="00BD0137"/>
    <w:rsid w:val="00BD480D"/>
    <w:rsid w:val="00BE71F7"/>
    <w:rsid w:val="00BF6E69"/>
    <w:rsid w:val="00C0456C"/>
    <w:rsid w:val="00C07CF7"/>
    <w:rsid w:val="00C111EB"/>
    <w:rsid w:val="00C2025B"/>
    <w:rsid w:val="00C20557"/>
    <w:rsid w:val="00C56955"/>
    <w:rsid w:val="00C64688"/>
    <w:rsid w:val="00C652CE"/>
    <w:rsid w:val="00C66A4C"/>
    <w:rsid w:val="00C82C72"/>
    <w:rsid w:val="00C9194E"/>
    <w:rsid w:val="00C92C6B"/>
    <w:rsid w:val="00C9433A"/>
    <w:rsid w:val="00CA7F20"/>
    <w:rsid w:val="00CE773D"/>
    <w:rsid w:val="00CF75C5"/>
    <w:rsid w:val="00D30037"/>
    <w:rsid w:val="00D30B1D"/>
    <w:rsid w:val="00D314F5"/>
    <w:rsid w:val="00D3653A"/>
    <w:rsid w:val="00D4582C"/>
    <w:rsid w:val="00D54FD5"/>
    <w:rsid w:val="00D901B2"/>
    <w:rsid w:val="00D93899"/>
    <w:rsid w:val="00D97D5F"/>
    <w:rsid w:val="00DD5CFC"/>
    <w:rsid w:val="00DE503F"/>
    <w:rsid w:val="00DF04A1"/>
    <w:rsid w:val="00DF64D2"/>
    <w:rsid w:val="00E10D63"/>
    <w:rsid w:val="00E31A3A"/>
    <w:rsid w:val="00E433BE"/>
    <w:rsid w:val="00E52CE7"/>
    <w:rsid w:val="00E5703C"/>
    <w:rsid w:val="00E75F5B"/>
    <w:rsid w:val="00EA5442"/>
    <w:rsid w:val="00EC4029"/>
    <w:rsid w:val="00ED5988"/>
    <w:rsid w:val="00EE7AEE"/>
    <w:rsid w:val="00EF0825"/>
    <w:rsid w:val="00EF1450"/>
    <w:rsid w:val="00EF145D"/>
    <w:rsid w:val="00F04FE2"/>
    <w:rsid w:val="00F23C2C"/>
    <w:rsid w:val="00F30B37"/>
    <w:rsid w:val="00F32E6D"/>
    <w:rsid w:val="00F54910"/>
    <w:rsid w:val="00F70DE6"/>
    <w:rsid w:val="00FA7AF4"/>
    <w:rsid w:val="00FC5B38"/>
    <w:rsid w:val="00FC6E64"/>
    <w:rsid w:val="00FD6770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9AB3-90DF-AB4F-8BFD-478EA54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45D"/>
    <w:pPr>
      <w:numPr>
        <w:numId w:val="2"/>
      </w:numPr>
      <w:spacing w:before="200" w:after="200" w:line="312" w:lineRule="auto"/>
      <w:jc w:val="both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145D"/>
    <w:rPr>
      <w:rFonts w:ascii="Times New Roman" w:eastAsiaTheme="majorEastAsia" w:hAnsi="Times New Roman" w:cstheme="majorBidi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1F"/>
    <w:rPr>
      <w:rFonts w:ascii="Segoe UI" w:hAnsi="Segoe UI" w:cs="Segoe UI"/>
      <w:sz w:val="18"/>
      <w:szCs w:val="18"/>
    </w:rPr>
  </w:style>
  <w:style w:type="paragraph" w:customStyle="1" w:styleId="MW1">
    <w:name w:val="MW_1"/>
    <w:basedOn w:val="Normalny"/>
    <w:link w:val="MW1Znak"/>
    <w:qFormat/>
    <w:rsid w:val="0096381F"/>
    <w:pPr>
      <w:numPr>
        <w:numId w:val="5"/>
      </w:numPr>
      <w:spacing w:before="200" w:after="200" w:line="312" w:lineRule="auto"/>
      <w:jc w:val="both"/>
    </w:pPr>
    <w:rPr>
      <w:rFonts w:ascii="Times New Roman" w:hAnsi="Times New Roman" w:cs="Times New Roman"/>
    </w:rPr>
  </w:style>
  <w:style w:type="paragraph" w:customStyle="1" w:styleId="MW2">
    <w:name w:val="MW_2"/>
    <w:basedOn w:val="MW1"/>
    <w:qFormat/>
    <w:rsid w:val="0096381F"/>
    <w:pPr>
      <w:numPr>
        <w:ilvl w:val="1"/>
      </w:numPr>
      <w:tabs>
        <w:tab w:val="num" w:pos="360"/>
      </w:tabs>
      <w:ind w:left="998" w:hanging="578"/>
    </w:pPr>
  </w:style>
  <w:style w:type="character" w:customStyle="1" w:styleId="MW1Znak">
    <w:name w:val="MW_1 Znak"/>
    <w:basedOn w:val="Domylnaczcionkaakapitu"/>
    <w:link w:val="MW1"/>
    <w:rsid w:val="0096381F"/>
    <w:rPr>
      <w:rFonts w:ascii="Times New Roman" w:hAnsi="Times New Roman" w:cs="Times New Roman"/>
    </w:rPr>
  </w:style>
  <w:style w:type="paragraph" w:customStyle="1" w:styleId="MW3">
    <w:name w:val="MW_3"/>
    <w:basedOn w:val="MW2"/>
    <w:qFormat/>
    <w:rsid w:val="0096381F"/>
    <w:pPr>
      <w:numPr>
        <w:ilvl w:val="2"/>
      </w:numPr>
      <w:tabs>
        <w:tab w:val="num" w:pos="360"/>
      </w:tabs>
      <w:ind w:left="1701"/>
    </w:pPr>
  </w:style>
  <w:style w:type="paragraph" w:customStyle="1" w:styleId="NAGOWEK0">
    <w:name w:val="NAGŁOWEK 0"/>
    <w:basedOn w:val="MW1"/>
    <w:link w:val="NAGOWEK0Znak"/>
    <w:qFormat/>
    <w:rsid w:val="009A3815"/>
    <w:pPr>
      <w:numPr>
        <w:numId w:val="0"/>
      </w:numPr>
      <w:spacing w:after="400"/>
      <w:jc w:val="center"/>
    </w:pPr>
    <w:rPr>
      <w:b/>
      <w:u w:val="single"/>
    </w:rPr>
  </w:style>
  <w:style w:type="character" w:customStyle="1" w:styleId="NAGOWEK0Znak">
    <w:name w:val="NAGŁOWEK 0 Znak"/>
    <w:basedOn w:val="MW1Znak"/>
    <w:link w:val="NAGOWEK0"/>
    <w:rsid w:val="009A3815"/>
    <w:rPr>
      <w:rFonts w:ascii="Times New Roman" w:hAnsi="Times New Roman" w:cs="Times New Roman"/>
      <w:b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DC8"/>
    <w:pPr>
      <w:spacing w:after="200" w:line="240" w:lineRule="auto"/>
      <w:ind w:left="788" w:hanging="431"/>
      <w:jc w:val="both"/>
    </w:pPr>
    <w:rPr>
      <w:rFonts w:ascii="Times New Roman" w:hAnsi="Times New Roman" w:cs="Times New Roman (Nagłówki CS)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DC8"/>
    <w:rPr>
      <w:rFonts w:ascii="Times New Roman" w:hAnsi="Times New Roman" w:cs="Times New Roman (Nagłówki CS)"/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B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B6D"/>
    <w:pPr>
      <w:spacing w:after="160"/>
      <w:ind w:left="0" w:firstLine="0"/>
      <w:jc w:val="left"/>
    </w:pPr>
    <w:rPr>
      <w:rFonts w:ascii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B6D"/>
    <w:rPr>
      <w:rFonts w:ascii="Times New Roman" w:hAnsi="Times New Roman" w:cs="Times New Roman (Nagłówki CS)"/>
      <w:b/>
      <w:bCs/>
      <w:color w:val="000000" w:themeColor="text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4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4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4A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F1"/>
  </w:style>
  <w:style w:type="character" w:styleId="Numerstrony">
    <w:name w:val="page number"/>
    <w:basedOn w:val="Domylnaczcionkaakapitu"/>
    <w:uiPriority w:val="99"/>
    <w:semiHidden/>
    <w:unhideWhenUsed/>
    <w:rsid w:val="00FE2CF1"/>
  </w:style>
  <w:style w:type="paragraph" w:styleId="Nagwek">
    <w:name w:val="header"/>
    <w:basedOn w:val="Normalny"/>
    <w:link w:val="NagwekZnak"/>
    <w:uiPriority w:val="99"/>
    <w:unhideWhenUsed/>
    <w:rsid w:val="00FE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parchiwum xmlns="374546b5-7e7b-4f81-8ddc-698351770f09">false</czydparchiwum>
    <_Flow_SignoffStatus xmlns="374546b5-7e7b-4f81-8ddc-698351770f09" xsi:nil="true"/>
    <_x0075_zp8 xmlns="374546b5-7e7b-4f81-8ddc-698351770f09" xsi:nil="true"/>
    <cl2e xmlns="374546b5-7e7b-4f81-8ddc-698351770f09" xsi:nil="true"/>
    <_x0065_oo0 xmlns="374546b5-7e7b-4f81-8ddc-698351770f09" xsi:nil="true"/>
    <Numer_x0020_projektu xmlns="374546b5-7e7b-4f81-8ddc-698351770f09" xsi:nil="true"/>
    <_x0063_qu7 xmlns="374546b5-7e7b-4f81-8ddc-698351770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A473748E88946BCC9170CDBA29E3D" ma:contentTypeVersion="20" ma:contentTypeDescription="Create a new document." ma:contentTypeScope="" ma:versionID="b08e693ebba644319b53fbf677af9e07">
  <xsd:schema xmlns:xsd="http://www.w3.org/2001/XMLSchema" xmlns:xs="http://www.w3.org/2001/XMLSchema" xmlns:p="http://schemas.microsoft.com/office/2006/metadata/properties" xmlns:ns2="16131170-815e-4774-85f7-38b54decd927" xmlns:ns3="374546b5-7e7b-4f81-8ddc-698351770f09" targetNamespace="http://schemas.microsoft.com/office/2006/metadata/properties" ma:root="true" ma:fieldsID="9fedc7238f36606450d6d7157feb8b1f" ns2:_="" ns3:_="">
    <xsd:import namespace="16131170-815e-4774-85f7-38b54decd927"/>
    <xsd:import namespace="374546b5-7e7b-4f81-8ddc-698351770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l2e" minOccurs="0"/>
                <xsd:element ref="ns3:czydparchiwum" minOccurs="0"/>
                <xsd:element ref="ns3:Numer_x0020_projektu" minOccurs="0"/>
                <xsd:element ref="ns3:_x0075_zp8" minOccurs="0"/>
                <xsd:element ref="ns3:_x0065_oo0" minOccurs="0"/>
                <xsd:element ref="ns3:_x0063_qu7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1170-815e-4774-85f7-38b54decd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46b5-7e7b-4f81-8ddc-69835177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2e" ma:index="18" nillable="true" ma:displayName="nr proj" ma:internalName="cl2e">
      <xsd:simpleType>
        <xsd:restriction base="dms:Text"/>
      </xsd:simpleType>
    </xsd:element>
    <xsd:element name="czydparchiwum" ma:index="19" nillable="true" ma:displayName="Czy archiwizujemy całość?" ma:default="0" ma:format="Dropdown" ma:internalName="czydparchiwum">
      <xsd:simpleType>
        <xsd:restriction base="dms:Boolean"/>
      </xsd:simpleType>
    </xsd:element>
    <xsd:element name="Numer_x0020_projektu" ma:index="20" nillable="true" ma:displayName="Numer projektu" ma:format="Dropdown" ma:internalName="Numer_x0020_projektu">
      <xsd:simpleType>
        <xsd:restriction base="dms:Note">
          <xsd:maxLength value="255"/>
        </xsd:restriction>
      </xsd:simpleType>
    </xsd:element>
    <xsd:element name="_x0075_zp8" ma:index="21" nillable="true" ma:displayName="Czy archwizujemy tylko określone foldery?" ma:format="Dropdown" ma:internalName="_x0075_zp8">
      <xsd:simpleType>
        <xsd:restriction base="dms:Text">
          <xsd:maxLength value="255"/>
        </xsd:restriction>
      </xsd:simpleType>
    </xsd:element>
    <xsd:element name="_x0065_oo0" ma:index="22" nillable="true" ma:displayName="osoby biorące udział w projecie" ma:format="Dropdown" ma:internalName="_x0065_oo0">
      <xsd:simpleType>
        <xsd:restriction base="dms:Text">
          <xsd:maxLength value="255"/>
        </xsd:restriction>
      </xsd:simpleType>
    </xsd:element>
    <xsd:element name="_x0063_qu7" ma:index="23" nillable="true" ma:displayName="Hasztagi, słowa klucze, przedmiot" ma:internalName="_x0063_qu7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0D9-8B49-4249-9C78-E229F06E020D}">
  <ds:schemaRefs>
    <ds:schemaRef ds:uri="374546b5-7e7b-4f81-8ddc-698351770f0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6131170-815e-4774-85f7-38b54decd9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75BEDC-D5AB-4492-9B97-BB4207222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DDDDA-3DDD-42E2-B678-CF974F954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1170-815e-4774-85f7-38b54decd927"/>
    <ds:schemaRef ds:uri="374546b5-7e7b-4f81-8ddc-69835177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D68FD-B8FC-45F9-8137-83B6693E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2427</Words>
  <Characters>14565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Owczarewicz</dc:creator>
  <cp:lastModifiedBy>Agnieszka Owczarewicz</cp:lastModifiedBy>
  <cp:revision>2</cp:revision>
  <dcterms:created xsi:type="dcterms:W3CDTF">2020-10-19T19:44:00Z</dcterms:created>
  <dcterms:modified xsi:type="dcterms:W3CDTF">2020-10-19T19:44:00Z</dcterms:modified>
</cp:coreProperties>
</file>