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EA" w:rsidRPr="00403081" w:rsidRDefault="007A54EA" w:rsidP="007A54EA">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bookmarkStart w:id="0" w:name="_GoBack"/>
      <w:bookmarkEnd w:id="0"/>
      <w:r w:rsidRPr="00403081">
        <w:rPr>
          <w:rFonts w:ascii="Times New Roman" w:hAnsi="Times New Roman" w:cs="Times New Roman"/>
          <w:b/>
          <w:bCs/>
          <w:color w:val="000000"/>
          <w:sz w:val="28"/>
          <w:szCs w:val="28"/>
          <w:lang w:eastAsia="pl-PL"/>
        </w:rPr>
        <w:t xml:space="preserve">P O U C Z E N I E </w:t>
      </w:r>
    </w:p>
    <w:p w:rsidR="007A54EA" w:rsidRDefault="007A54EA" w:rsidP="007A54EA">
      <w:pPr>
        <w:spacing w:after="0" w:line="240" w:lineRule="auto"/>
        <w:jc w:val="center"/>
        <w:rPr>
          <w:rFonts w:ascii="Times New Roman" w:hAnsi="Times New Roman" w:cs="Times New Roman"/>
          <w:b/>
          <w:sz w:val="24"/>
          <w:szCs w:val="24"/>
        </w:rPr>
      </w:pPr>
      <w:r w:rsidRPr="00D16120">
        <w:rPr>
          <w:rFonts w:ascii="Times New Roman" w:hAnsi="Times New Roman" w:cs="Times New Roman"/>
          <w:b/>
          <w:sz w:val="24"/>
          <w:szCs w:val="24"/>
        </w:rPr>
        <w:t>(</w:t>
      </w:r>
      <w:r>
        <w:rPr>
          <w:rFonts w:ascii="Times New Roman" w:hAnsi="Times New Roman" w:cs="Times New Roman"/>
          <w:b/>
          <w:sz w:val="24"/>
          <w:szCs w:val="24"/>
        </w:rPr>
        <w:t xml:space="preserve">wezwanie świadka) </w:t>
      </w:r>
    </w:p>
    <w:p w:rsidR="007A54EA" w:rsidRDefault="007A54EA" w:rsidP="007A54EA">
      <w:pPr>
        <w:spacing w:after="0" w:line="240" w:lineRule="auto"/>
        <w:jc w:val="both"/>
        <w:rPr>
          <w:rFonts w:ascii="Times New Roman" w:hAnsi="Times New Roman" w:cs="Times New Roman"/>
          <w:sz w:val="24"/>
          <w:szCs w:val="24"/>
        </w:rPr>
      </w:pPr>
    </w:p>
    <w:p w:rsidR="00181734" w:rsidRPr="00EC0144" w:rsidRDefault="00181734" w:rsidP="00181734">
      <w:pPr>
        <w:spacing w:after="0" w:line="240" w:lineRule="auto"/>
        <w:ind w:firstLine="708"/>
        <w:jc w:val="both"/>
        <w:rPr>
          <w:rFonts w:ascii="Times New Roman" w:hAnsi="Times New Roman" w:cs="Times New Roman"/>
        </w:rPr>
      </w:pPr>
      <w:r w:rsidRPr="00EC0144">
        <w:rPr>
          <w:rFonts w:ascii="Times New Roman" w:hAnsi="Times New Roman" w:cs="Times New Roman"/>
        </w:rPr>
        <w:t xml:space="preserve">Każda osoba wezwana przez sąd jako świadek powinna się stawić w miejscu, dniu i godzinie, wskazanych w wezwaniu i pozostać do zwolnienia. </w:t>
      </w:r>
    </w:p>
    <w:p w:rsidR="00181734" w:rsidRPr="00EC0144" w:rsidRDefault="00181734" w:rsidP="00181734">
      <w:pPr>
        <w:spacing w:after="0" w:line="240" w:lineRule="auto"/>
        <w:ind w:firstLine="708"/>
        <w:jc w:val="both"/>
        <w:rPr>
          <w:rFonts w:ascii="Times New Roman" w:hAnsi="Times New Roman" w:cs="Times New Roman"/>
        </w:rPr>
      </w:pPr>
      <w:r w:rsidRPr="00EC0144">
        <w:rPr>
          <w:rFonts w:ascii="Times New Roman" w:hAnsi="Times New Roman" w:cs="Times New Roman"/>
        </w:rPr>
        <w:t>Za nieusprawiedliwione niestawiennictwo, nieuzasadnioną odmowę złożenia zeznań, przyrzeczenia sąd skaże świadka na grzywnę w kwocie do 3.000 zł (art. 274 § 1 k.p.c.</w:t>
      </w:r>
      <w:r w:rsidR="00D2174C">
        <w:rPr>
          <w:rFonts w:ascii="Times New Roman" w:hAnsi="Times New Roman" w:cs="Times New Roman"/>
        </w:rPr>
        <w:t xml:space="preserve"> i</w:t>
      </w:r>
      <w:r w:rsidRPr="00EC0144">
        <w:rPr>
          <w:rFonts w:ascii="Times New Roman" w:hAnsi="Times New Roman" w:cs="Times New Roman"/>
        </w:rPr>
        <w:t xml:space="preserve"> art. 276 § 1 w zw. z art. 163 § 1 k.p.c.), a w razie ponownego niestawiennictwa świadka - niezależnie od nałożenia nowej grzywny - może zarządzić jego przymusowe sprowadzenie (art. 274 § 1 k.p.c.). </w:t>
      </w:r>
    </w:p>
    <w:p w:rsidR="00181734" w:rsidRPr="00EC0144" w:rsidRDefault="00181734" w:rsidP="008B3799">
      <w:pPr>
        <w:spacing w:after="0" w:line="240" w:lineRule="auto"/>
        <w:ind w:firstLine="708"/>
        <w:jc w:val="both"/>
        <w:rPr>
          <w:rFonts w:ascii="Times New Roman" w:hAnsi="Times New Roman" w:cs="Times New Roman"/>
        </w:rPr>
      </w:pPr>
      <w:r w:rsidRPr="00EC0144">
        <w:rPr>
          <w:rFonts w:ascii="Times New Roman" w:hAnsi="Times New Roman" w:cs="Times New Roman"/>
        </w:rPr>
        <w:t>Usprawiedliwienie niestawiennictwa z powodu choroby wymaga przedstawienia zaświadczenia potwierdzającego niemożność stawienia się na wezwanie sądu, wystawionego przez lekarza sądowego (art. 214</w:t>
      </w:r>
      <w:r w:rsidRPr="00EC0144">
        <w:rPr>
          <w:rFonts w:ascii="Times New Roman" w:hAnsi="Times New Roman" w:cs="Times New Roman"/>
          <w:vertAlign w:val="superscript"/>
        </w:rPr>
        <w:t>1</w:t>
      </w:r>
      <w:r w:rsidRPr="00EC0144">
        <w:rPr>
          <w:rFonts w:ascii="Times New Roman" w:hAnsi="Times New Roman" w:cs="Times New Roman"/>
        </w:rPr>
        <w:t xml:space="preserve"> § 1 k.p.c.). Informacje o miejscach, dniach i godzinach przyjęć lekarzy sądowych, wraz z ich imieniem i nazwiskiem oraz numerem telefonu, wywiesza się na tablicach w siedzibach sądów, prokuratur, komend i komisariatów Policji, innych organów uprawnionych do prowadzenia dochodzeń, okręgowej rady adwokackiej i rady okręgowej izby radców prawnych, właściwym dla obszaru właściwości danego sądu okręgowego, a także w miejscach wykonywania zawodu lekarza przez le</w:t>
      </w:r>
      <w:r w:rsidR="007C591B" w:rsidRPr="00EC0144">
        <w:rPr>
          <w:rFonts w:ascii="Times New Roman" w:hAnsi="Times New Roman" w:cs="Times New Roman"/>
        </w:rPr>
        <w:t>karzy sądowych (</w:t>
      </w:r>
      <w:r w:rsidRPr="00EC0144">
        <w:rPr>
          <w:rFonts w:ascii="Times New Roman" w:hAnsi="Times New Roman" w:cs="Times New Roman"/>
        </w:rPr>
        <w:t>art. 8 ust. 1 w zw. z art. 7 u</w:t>
      </w:r>
      <w:r w:rsidR="007C591B" w:rsidRPr="00EC0144">
        <w:rPr>
          <w:rFonts w:ascii="Times New Roman" w:hAnsi="Times New Roman" w:cs="Times New Roman"/>
        </w:rPr>
        <w:t xml:space="preserve">st. 3 ustawy o lekarzu sądowym - </w:t>
      </w:r>
      <w:r w:rsidRPr="00EC0144">
        <w:rPr>
          <w:rFonts w:ascii="Times New Roman" w:hAnsi="Times New Roman" w:cs="Times New Roman"/>
        </w:rPr>
        <w:t>Dz. U. z 2007 r.</w:t>
      </w:r>
      <w:r w:rsidR="007C591B" w:rsidRPr="00EC0144">
        <w:rPr>
          <w:rFonts w:ascii="Times New Roman" w:hAnsi="Times New Roman" w:cs="Times New Roman"/>
        </w:rPr>
        <w:t xml:space="preserve"> Nr 123, poz. 849, z późn. zm.)</w:t>
      </w:r>
      <w:r w:rsidRPr="00EC0144">
        <w:rPr>
          <w:rFonts w:ascii="Times New Roman" w:hAnsi="Times New Roman" w:cs="Times New Roman"/>
        </w:rPr>
        <w:t xml:space="preserve">. Wykaz lekarzy sądowych znajduje się na stronie internetowej Sądu Okręgowego w Warszawie </w:t>
      </w:r>
      <w:r w:rsidR="00B627D7" w:rsidRPr="00EC0144">
        <w:rPr>
          <w:rFonts w:ascii="Times New Roman" w:hAnsi="Times New Roman" w:cs="Times New Roman"/>
        </w:rPr>
        <w:t>–</w:t>
      </w:r>
      <w:r w:rsidRPr="00EC0144">
        <w:rPr>
          <w:rFonts w:ascii="Times New Roman" w:hAnsi="Times New Roman" w:cs="Times New Roman"/>
        </w:rPr>
        <w:t xml:space="preserve"> </w:t>
      </w:r>
      <w:r w:rsidR="00B627D7" w:rsidRPr="00EC0144">
        <w:rPr>
          <w:rFonts w:ascii="Times New Roman" w:hAnsi="Times New Roman" w:cs="Times New Roman"/>
        </w:rPr>
        <w:t>(</w:t>
      </w:r>
      <w:hyperlink r:id="rId8" w:history="1">
        <w:r w:rsidR="008B3799" w:rsidRPr="00EC0144">
          <w:rPr>
            <w:rStyle w:val="Hipercze"/>
            <w:rFonts w:ascii="Times New Roman" w:hAnsi="Times New Roman" w:cs="Times New Roman"/>
            <w:color w:val="auto"/>
            <w:u w:val="none"/>
          </w:rPr>
          <w:t>http://bip.warszawa.so.gov.pl/artykuly/239/lekarze-sadowi</w:t>
        </w:r>
      </w:hyperlink>
      <w:r w:rsidR="00B627D7" w:rsidRPr="00EC0144">
        <w:rPr>
          <w:rFonts w:ascii="Times New Roman" w:hAnsi="Times New Roman" w:cs="Times New Roman"/>
        </w:rPr>
        <w:t xml:space="preserve">). </w:t>
      </w:r>
    </w:p>
    <w:p w:rsidR="00181734" w:rsidRPr="00EC0144" w:rsidRDefault="00181734" w:rsidP="00B627D7">
      <w:pPr>
        <w:spacing w:after="0" w:line="240" w:lineRule="auto"/>
        <w:ind w:firstLine="708"/>
        <w:jc w:val="both"/>
        <w:rPr>
          <w:rFonts w:ascii="Times New Roman" w:hAnsi="Times New Roman" w:cs="Times New Roman"/>
        </w:rPr>
      </w:pPr>
      <w:r w:rsidRPr="00EC0144">
        <w:rPr>
          <w:rFonts w:ascii="Times New Roman" w:hAnsi="Times New Roman" w:cs="Times New Roman"/>
        </w:rPr>
        <w:t>Świadkowi oraz osobie towarzyszącej świadkowi, jeżeli świadek nie mógł stawić się na wezwanie sądu bez opieki tej osoby, przysługuje zwrot kosztów podróży - z miejsca jego zamieszkania do miejsca wykonywania czynności sądowej na wezwanie sądu, noclegu oraz utrzymania w miejscu wykonywania czynności sądowej w wysokości rzeczywiście poniesionych, racjonalnych i celowych kosztów oraz zwrot zarobku lub dochodu utraconego z powodu stawiennictwa na wezwanie sądu, nawet gdyby pomimo stawienia się w sądzie świadek nie został przesłuchany. Utratę zarobku lub dochodu oraz wysokość kosztów związanych ze stawiennictwem na wezwanie sądu świadek oraz osoba towarzysząca świadkowi, jeżeli świadek nie mógł stawić się na wezwanie sądu bez opieki tej os</w:t>
      </w:r>
      <w:r w:rsidR="00B627D7" w:rsidRPr="00EC0144">
        <w:rPr>
          <w:rFonts w:ascii="Times New Roman" w:hAnsi="Times New Roman" w:cs="Times New Roman"/>
        </w:rPr>
        <w:t>oby, powinni należycie wykazać (</w:t>
      </w:r>
      <w:r w:rsidRPr="00EC0144">
        <w:rPr>
          <w:rFonts w:ascii="Times New Roman" w:hAnsi="Times New Roman" w:cs="Times New Roman"/>
        </w:rPr>
        <w:t>art. 85 ust. 1, 3 i 4, art. 86 ust. 1 i 4, art. 87 ust. 1 oraz art. 88 ustawy o kosztach</w:t>
      </w:r>
      <w:r w:rsidR="00B627D7" w:rsidRPr="00EC0144">
        <w:rPr>
          <w:rFonts w:ascii="Times New Roman" w:hAnsi="Times New Roman" w:cs="Times New Roman"/>
        </w:rPr>
        <w:t xml:space="preserve"> sądowych w sprawach cywilnych - </w:t>
      </w:r>
      <w:r w:rsidRPr="00EC0144">
        <w:rPr>
          <w:rFonts w:ascii="Times New Roman" w:hAnsi="Times New Roman" w:cs="Times New Roman"/>
        </w:rPr>
        <w:t>Dz. U. z 2010 r</w:t>
      </w:r>
      <w:r w:rsidR="00B627D7" w:rsidRPr="00EC0144">
        <w:rPr>
          <w:rFonts w:ascii="Times New Roman" w:hAnsi="Times New Roman" w:cs="Times New Roman"/>
        </w:rPr>
        <w:t>. Nr 90, poz. 594, z późn. zm.)</w:t>
      </w:r>
      <w:r w:rsidRPr="00EC0144">
        <w:rPr>
          <w:rFonts w:ascii="Times New Roman" w:hAnsi="Times New Roman" w:cs="Times New Roman"/>
        </w:rPr>
        <w:t>.</w:t>
      </w:r>
      <w:r w:rsidR="00B627D7" w:rsidRPr="00EC0144">
        <w:rPr>
          <w:rFonts w:ascii="Times New Roman" w:hAnsi="Times New Roman" w:cs="Times New Roman"/>
        </w:rPr>
        <w:t xml:space="preserve"> </w:t>
      </w:r>
    </w:p>
    <w:p w:rsidR="00181734" w:rsidRPr="00EC0144" w:rsidRDefault="00181734" w:rsidP="00EC0144">
      <w:pPr>
        <w:spacing w:after="0" w:line="240" w:lineRule="auto"/>
        <w:ind w:firstLine="708"/>
        <w:jc w:val="both"/>
        <w:rPr>
          <w:rFonts w:ascii="Times New Roman" w:hAnsi="Times New Roman" w:cs="Times New Roman"/>
        </w:rPr>
      </w:pPr>
      <w:r w:rsidRPr="00EC0144">
        <w:rPr>
          <w:rFonts w:ascii="Times New Roman" w:hAnsi="Times New Roman" w:cs="Times New Roman"/>
        </w:rPr>
        <w:t>Zwrot należności związanych ze stawiennictwem na wezwanie sądu nie przysługuje świadkowi zatrudnionemu w organie władzy publicznej, jeżeli powołany został do zeznawania w związku z tym zatrudnieniem. W tym przypadku świadkowi służy prawo do należności na zasadach określonych w przepisach regulujących wysokość i warunki ustalania należności przysługujących pracownikowi zatrudnionemu w państwowej lub samorządowej jednostce sfery budżetowej z tytułu podróży służbowej na obszarze kraju (art. 88a ustawy o kosztach sądowych w sprawach cywilnych).</w:t>
      </w:r>
      <w:r w:rsidR="00EC0144" w:rsidRPr="00EC0144">
        <w:rPr>
          <w:rFonts w:ascii="Times New Roman" w:hAnsi="Times New Roman" w:cs="Times New Roman"/>
        </w:rPr>
        <w:t xml:space="preserve"> </w:t>
      </w:r>
    </w:p>
    <w:p w:rsidR="00181734" w:rsidRPr="00EC0144" w:rsidRDefault="00181734" w:rsidP="00EC0144">
      <w:pPr>
        <w:spacing w:after="0" w:line="240" w:lineRule="auto"/>
        <w:ind w:firstLine="708"/>
        <w:jc w:val="both"/>
        <w:rPr>
          <w:rFonts w:ascii="Times New Roman" w:hAnsi="Times New Roman" w:cs="Times New Roman"/>
        </w:rPr>
      </w:pPr>
      <w:r w:rsidRPr="00EC0144">
        <w:rPr>
          <w:rFonts w:ascii="Times New Roman" w:hAnsi="Times New Roman" w:cs="Times New Roman"/>
        </w:rPr>
        <w:t>Świadkowi oraz osobie towarzyszącej świadkowi, jeżeli świadek nie mógł stawić się na we</w:t>
      </w:r>
      <w:r w:rsidR="00EC0144" w:rsidRPr="00EC0144">
        <w:rPr>
          <w:rFonts w:ascii="Times New Roman" w:hAnsi="Times New Roman" w:cs="Times New Roman"/>
        </w:rPr>
        <w:t>zwanie sądu bez opieki tej osoby</w:t>
      </w:r>
      <w:r w:rsidRPr="00EC0144">
        <w:rPr>
          <w:rFonts w:ascii="Times New Roman" w:hAnsi="Times New Roman" w:cs="Times New Roman"/>
        </w:rPr>
        <w:t xml:space="preserve"> wezwanemu przez sąd w kilku sprawach na ten sam dzień, przyznaje się należności związane ze stawiennictwem na wezwanie sądu tylko raz (art. 87 ust. 2 i art. 90b ustawy o kosztach sądowych w sprawach cywilnych).</w:t>
      </w:r>
      <w:r w:rsidR="00EC0144" w:rsidRPr="00EC0144">
        <w:rPr>
          <w:rFonts w:ascii="Times New Roman" w:hAnsi="Times New Roman" w:cs="Times New Roman"/>
        </w:rPr>
        <w:t xml:space="preserve"> </w:t>
      </w:r>
    </w:p>
    <w:p w:rsidR="00181734" w:rsidRPr="00EC0144" w:rsidRDefault="00181734" w:rsidP="00EC0144">
      <w:pPr>
        <w:spacing w:after="0" w:line="240" w:lineRule="auto"/>
        <w:ind w:firstLine="708"/>
        <w:jc w:val="both"/>
        <w:rPr>
          <w:rFonts w:ascii="Times New Roman" w:hAnsi="Times New Roman" w:cs="Times New Roman"/>
        </w:rPr>
      </w:pPr>
      <w:r w:rsidRPr="00EC0144">
        <w:rPr>
          <w:rFonts w:ascii="Times New Roman" w:hAnsi="Times New Roman" w:cs="Times New Roman"/>
        </w:rPr>
        <w:t>Zwrot wydatków, utraconego zarobku lub dochodu, wynagrodzenia i kosztów podróży pr</w:t>
      </w:r>
      <w:r w:rsidR="00EC0144" w:rsidRPr="00EC0144">
        <w:rPr>
          <w:rFonts w:ascii="Times New Roman" w:hAnsi="Times New Roman" w:cs="Times New Roman"/>
        </w:rPr>
        <w:t xml:space="preserve">zyznaje się na wniosek świadka </w:t>
      </w:r>
      <w:r w:rsidRPr="00EC0144">
        <w:rPr>
          <w:rFonts w:ascii="Times New Roman" w:hAnsi="Times New Roman" w:cs="Times New Roman"/>
        </w:rPr>
        <w:t>złożony na piśmie lub ustnie do protokołu rozprawy. Wniosek o przyznanie należności związanych ze stawiennictwem na wezwanie sądu składa się ustnie do protokołu lub na piśmie, w terminie 3 dni od dnia zakończenia czynności z udziałem osoby uprawnionej do tych należności, a w przypadku osoby towarzyszącej świadkowi, jeżeli świadek nie mógł stawić się na wezwanie sądu bez opieki tej osoby - w terminie 3 dni od zakończenia czynności z udziałem świadka, któremu ona towarzyszyła (art. 92 ust. 1 i 2 ustawy o kosztach sądowych w sprawach cywilnych). Wniosek złożony po upływie terminu podlega oddaleniu.</w:t>
      </w:r>
      <w:r w:rsidR="00EC0144" w:rsidRPr="00EC0144">
        <w:rPr>
          <w:rFonts w:ascii="Times New Roman" w:hAnsi="Times New Roman" w:cs="Times New Roman"/>
        </w:rPr>
        <w:t xml:space="preserve"> </w:t>
      </w:r>
    </w:p>
    <w:p w:rsidR="00181734" w:rsidRDefault="00181734" w:rsidP="00EC0144">
      <w:pPr>
        <w:spacing w:after="0" w:line="240" w:lineRule="auto"/>
        <w:ind w:firstLine="708"/>
        <w:jc w:val="both"/>
        <w:rPr>
          <w:rFonts w:ascii="Times New Roman" w:hAnsi="Times New Roman" w:cs="Times New Roman"/>
          <w:sz w:val="24"/>
          <w:szCs w:val="24"/>
        </w:rPr>
      </w:pPr>
      <w:r w:rsidRPr="00EC0144">
        <w:rPr>
          <w:rFonts w:ascii="Times New Roman" w:hAnsi="Times New Roman" w:cs="Times New Roman"/>
        </w:rPr>
        <w:t>Przewodniczący może zarządzeniem w całości uwzględnić wniosek świadka o przyznanie każdej z należności, o których mowa w art. 85 i art. 86</w:t>
      </w:r>
      <w:r w:rsidR="00EC0144" w:rsidRPr="00EC0144">
        <w:t xml:space="preserve"> </w:t>
      </w:r>
      <w:r w:rsidR="00EC0144" w:rsidRPr="00EC0144">
        <w:rPr>
          <w:rFonts w:ascii="Times New Roman" w:hAnsi="Times New Roman" w:cs="Times New Roman"/>
        </w:rPr>
        <w:t>ustawy o kosztach sądowych w sprawach cywilnych</w:t>
      </w:r>
      <w:r w:rsidRPr="00EC0144">
        <w:rPr>
          <w:rFonts w:ascii="Times New Roman" w:hAnsi="Times New Roman" w:cs="Times New Roman"/>
        </w:rPr>
        <w:t>, jeżeli jego uwzględnienie nie poc</w:t>
      </w:r>
      <w:r w:rsidR="00EC0144" w:rsidRPr="00EC0144">
        <w:rPr>
          <w:rFonts w:ascii="Times New Roman" w:hAnsi="Times New Roman" w:cs="Times New Roman"/>
        </w:rPr>
        <w:t>iągnie za sobą zobowiązania zainteresowanego</w:t>
      </w:r>
      <w:r w:rsidRPr="00EC0144">
        <w:rPr>
          <w:rFonts w:ascii="Times New Roman" w:hAnsi="Times New Roman" w:cs="Times New Roman"/>
        </w:rPr>
        <w:t xml:space="preserve"> do uiszczenia dalszych kwot albo </w:t>
      </w:r>
      <w:r w:rsidR="00EC0144" w:rsidRPr="00EC0144">
        <w:rPr>
          <w:rFonts w:ascii="Times New Roman" w:hAnsi="Times New Roman" w:cs="Times New Roman"/>
        </w:rPr>
        <w:t>zainteresowany zgodził</w:t>
      </w:r>
      <w:r w:rsidRPr="00EC0144">
        <w:rPr>
          <w:rFonts w:ascii="Times New Roman" w:hAnsi="Times New Roman" w:cs="Times New Roman"/>
        </w:rPr>
        <w:t xml:space="preserve"> się na pokrycie należności świadka w żądanej przez niego wysokości. Zarządzenie to nie podlega zaskarżeniu (art. 93 ust. 1a ustawy o kosztach sądowych w sprawach cywilnych.</w:t>
      </w:r>
      <w:r w:rsidR="00EC0144" w:rsidRPr="00EC0144">
        <w:rPr>
          <w:rFonts w:ascii="Times New Roman" w:hAnsi="Times New Roman" w:cs="Times New Roman"/>
        </w:rPr>
        <w:t xml:space="preserve"> </w:t>
      </w:r>
    </w:p>
    <w:p w:rsidR="007A54EA" w:rsidRPr="00F804E8" w:rsidRDefault="007A54EA" w:rsidP="007A54EA">
      <w:pPr>
        <w:spacing w:after="0" w:line="240" w:lineRule="auto"/>
        <w:jc w:val="both"/>
        <w:rPr>
          <w:rFonts w:ascii="Times New Roman" w:hAnsi="Times New Roman" w:cs="Times New Roman"/>
          <w:sz w:val="24"/>
          <w:szCs w:val="24"/>
        </w:rPr>
      </w:pPr>
    </w:p>
    <w:p w:rsidR="007A54EA" w:rsidRPr="00F804E8" w:rsidRDefault="007A54EA" w:rsidP="007A54EA">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7A54EA" w:rsidRPr="00901FD7" w:rsidRDefault="007A54EA" w:rsidP="007A54E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7A54EA" w:rsidRPr="00434BEF" w:rsidRDefault="007A54EA" w:rsidP="007A54E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7A54EA" w:rsidRPr="00403081" w:rsidTr="00B439BA">
        <w:trPr>
          <w:trHeight w:val="1414"/>
        </w:trPr>
        <w:tc>
          <w:tcPr>
            <w:tcW w:w="2410" w:type="dxa"/>
            <w:tcBorders>
              <w:top w:val="single" w:sz="4" w:space="0" w:color="auto"/>
              <w:left w:val="single" w:sz="4" w:space="0" w:color="auto"/>
              <w:bottom w:val="single" w:sz="4" w:space="0" w:color="auto"/>
              <w:right w:val="single" w:sz="4" w:space="0" w:color="auto"/>
            </w:tcBorders>
          </w:tcPr>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9"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7A54EA" w:rsidRPr="00901FD7" w:rsidRDefault="007A54EA"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7A54EA" w:rsidRPr="00901FD7" w:rsidRDefault="007A54EA"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7A54EA" w:rsidRPr="00901FD7" w:rsidRDefault="007A54EA" w:rsidP="00B439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7A54EA" w:rsidRPr="00F020E4"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7A54EA" w:rsidRPr="00403081" w:rsidRDefault="007A54EA" w:rsidP="007A54EA">
      <w:pPr>
        <w:spacing w:after="0" w:line="240" w:lineRule="auto"/>
        <w:jc w:val="both"/>
        <w:rPr>
          <w:rFonts w:ascii="Times New Roman" w:hAnsi="Times New Roman" w:cs="Times New Roman"/>
          <w:sz w:val="24"/>
          <w:szCs w:val="24"/>
        </w:rPr>
      </w:pPr>
    </w:p>
    <w:sectPr w:rsidR="007A54EA" w:rsidRPr="00403081" w:rsidSect="000463CF">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B7" w:rsidRDefault="004714AD">
      <w:pPr>
        <w:spacing w:after="0" w:line="240" w:lineRule="auto"/>
      </w:pPr>
      <w:r>
        <w:separator/>
      </w:r>
    </w:p>
  </w:endnote>
  <w:endnote w:type="continuationSeparator" w:id="0">
    <w:p w:rsidR="006222B7" w:rsidRDefault="0047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CF4996">
        <w:pPr>
          <w:pStyle w:val="Stopka"/>
          <w:jc w:val="center"/>
        </w:pPr>
        <w:r>
          <w:fldChar w:fldCharType="begin"/>
        </w:r>
        <w:r>
          <w:instrText>PAGE   \* MERGEFORMAT</w:instrText>
        </w:r>
        <w:r>
          <w:fldChar w:fldCharType="separate"/>
        </w:r>
        <w:r w:rsidR="00BB6B12">
          <w:rPr>
            <w:noProof/>
          </w:rPr>
          <w:t>1</w:t>
        </w:r>
        <w:r>
          <w:fldChar w:fldCharType="end"/>
        </w:r>
      </w:p>
    </w:sdtContent>
  </w:sdt>
  <w:p w:rsidR="00DA30F9" w:rsidRDefault="00BB6B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B7" w:rsidRDefault="004714AD">
      <w:pPr>
        <w:spacing w:after="0" w:line="240" w:lineRule="auto"/>
      </w:pPr>
      <w:r>
        <w:separator/>
      </w:r>
    </w:p>
  </w:footnote>
  <w:footnote w:type="continuationSeparator" w:id="0">
    <w:p w:rsidR="006222B7" w:rsidRDefault="00471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6D96"/>
    <w:multiLevelType w:val="hybridMultilevel"/>
    <w:tmpl w:val="25220F68"/>
    <w:lvl w:ilvl="0" w:tplc="042EA2A2">
      <w:start w:val="1"/>
      <w:numFmt w:val="decimal"/>
      <w:lvlText w:val="%1."/>
      <w:lvlJc w:val="left"/>
      <w:pPr>
        <w:ind w:left="720" w:hanging="360"/>
      </w:pPr>
      <w:rPr>
        <w:rFonts w:hint="default"/>
        <w:b/>
      </w:rPr>
    </w:lvl>
    <w:lvl w:ilvl="1" w:tplc="D52A27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5F68E5"/>
    <w:multiLevelType w:val="hybridMultilevel"/>
    <w:tmpl w:val="A4A26916"/>
    <w:lvl w:ilvl="0" w:tplc="9DF8AF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6E51A88"/>
    <w:multiLevelType w:val="hybridMultilevel"/>
    <w:tmpl w:val="3F4CA83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C8C730D"/>
    <w:multiLevelType w:val="hybridMultilevel"/>
    <w:tmpl w:val="4C12C1F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2F021AE"/>
    <w:multiLevelType w:val="hybridMultilevel"/>
    <w:tmpl w:val="44B2F188"/>
    <w:lvl w:ilvl="0" w:tplc="5E2676B2">
      <w:start w:val="1"/>
      <w:numFmt w:val="lowerLetter"/>
      <w:lvlText w:val="%1)"/>
      <w:lvlJc w:val="left"/>
      <w:pPr>
        <w:ind w:left="720" w:hanging="360"/>
      </w:pPr>
      <w:rPr>
        <w:rFonts w:hint="default"/>
        <w:b/>
      </w:rPr>
    </w:lvl>
    <w:lvl w:ilvl="1" w:tplc="7A6ACF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formatting="1" w:enforcement="1" w:cryptProviderType="rsaFull" w:cryptAlgorithmClass="hash" w:cryptAlgorithmType="typeAny" w:cryptAlgorithmSid="4" w:cryptSpinCount="100000" w:hash="u/ApYEGoqnF6AkD4ejx6cZdSKac=" w:salt="UihM8RYkJatsYJTk62V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EA"/>
    <w:rsid w:val="00170B3B"/>
    <w:rsid w:val="00181734"/>
    <w:rsid w:val="001D38FA"/>
    <w:rsid w:val="00336119"/>
    <w:rsid w:val="004714AD"/>
    <w:rsid w:val="005536B8"/>
    <w:rsid w:val="006222B7"/>
    <w:rsid w:val="007A54EA"/>
    <w:rsid w:val="007C591B"/>
    <w:rsid w:val="008B3799"/>
    <w:rsid w:val="00A826AD"/>
    <w:rsid w:val="00B627D7"/>
    <w:rsid w:val="00BB6B12"/>
    <w:rsid w:val="00CF4996"/>
    <w:rsid w:val="00D2174C"/>
    <w:rsid w:val="00EB106F"/>
    <w:rsid w:val="00EC0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4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54EA"/>
    <w:rPr>
      <w:color w:val="0563C1" w:themeColor="hyperlink"/>
      <w:u w:val="single"/>
    </w:rPr>
  </w:style>
  <w:style w:type="paragraph" w:styleId="Stopka">
    <w:name w:val="footer"/>
    <w:basedOn w:val="Normalny"/>
    <w:link w:val="StopkaZnak"/>
    <w:uiPriority w:val="99"/>
    <w:unhideWhenUsed/>
    <w:rsid w:val="007A5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4EA"/>
  </w:style>
  <w:style w:type="paragraph" w:styleId="Akapitzlist">
    <w:name w:val="List Paragraph"/>
    <w:basedOn w:val="Normalny"/>
    <w:uiPriority w:val="34"/>
    <w:qFormat/>
    <w:rsid w:val="007A5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4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54EA"/>
    <w:rPr>
      <w:color w:val="0563C1" w:themeColor="hyperlink"/>
      <w:u w:val="single"/>
    </w:rPr>
  </w:style>
  <w:style w:type="paragraph" w:styleId="Stopka">
    <w:name w:val="footer"/>
    <w:basedOn w:val="Normalny"/>
    <w:link w:val="StopkaZnak"/>
    <w:uiPriority w:val="99"/>
    <w:unhideWhenUsed/>
    <w:rsid w:val="007A5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4EA"/>
  </w:style>
  <w:style w:type="paragraph" w:styleId="Akapitzlist">
    <w:name w:val="List Paragraph"/>
    <w:basedOn w:val="Normalny"/>
    <w:uiPriority w:val="34"/>
    <w:qFormat/>
    <w:rsid w:val="007A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szawa.so.gov.pl/artykuly/239/lekarze-sadow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i@warszawa.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770</Words>
  <Characters>4622</Characters>
  <Application>Microsoft Office Word</Application>
  <DocSecurity>8</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Arkadiusz Połaniecki</cp:lastModifiedBy>
  <cp:revision>14</cp:revision>
  <dcterms:created xsi:type="dcterms:W3CDTF">2019-11-11T15:20:00Z</dcterms:created>
  <dcterms:modified xsi:type="dcterms:W3CDTF">2020-02-19T11:16:00Z</dcterms:modified>
</cp:coreProperties>
</file>